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7DE" w:rsidRPr="008927DE" w:rsidRDefault="008927DE" w:rsidP="00A644D8">
      <w:pPr>
        <w:outlineLvl w:val="0"/>
        <w:rPr>
          <w:i/>
        </w:rPr>
      </w:pPr>
    </w:p>
    <w:p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1631"/>
      </w:tblGrid>
      <w:tr w:rsidR="007A0A3D" w:rsidRPr="00C81547" w:rsidTr="00180E1F">
        <w:tc>
          <w:tcPr>
            <w:tcW w:w="562" w:type="dxa"/>
            <w:shd w:val="clear" w:color="auto" w:fill="D9D9D9" w:themeFill="background1" w:themeFillShade="D9"/>
          </w:tcPr>
          <w:p w:rsidR="007A0A3D" w:rsidRPr="00C81547" w:rsidRDefault="00DE6786" w:rsidP="00180E1F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Lp</w:t>
            </w:r>
            <w:r w:rsidR="00180E1F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7A0A3D" w:rsidRPr="00C81547" w:rsidRDefault="007A0A3D" w:rsidP="00180E1F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1547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11631" w:type="dxa"/>
            <w:shd w:val="clear" w:color="auto" w:fill="D9D9D9" w:themeFill="background1" w:themeFillShade="D9"/>
          </w:tcPr>
          <w:p w:rsidR="007A0A3D" w:rsidRPr="00C81547" w:rsidRDefault="007A0A3D" w:rsidP="00180E1F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1547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C81547" w:rsidTr="00180E1F">
        <w:tc>
          <w:tcPr>
            <w:tcW w:w="562" w:type="dxa"/>
          </w:tcPr>
          <w:p w:rsidR="007A0A3D" w:rsidRPr="00C81547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7A0A3D" w:rsidRPr="00C81547" w:rsidRDefault="007A0A3D">
            <w:pPr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11631" w:type="dxa"/>
          </w:tcPr>
          <w:p w:rsidR="007A0A3D" w:rsidRPr="00C81547" w:rsidRDefault="00A644D8" w:rsidP="005302DE">
            <w:pPr>
              <w:pStyle w:val="Other0"/>
              <w:rPr>
                <w:rFonts w:asciiTheme="minorHAnsi" w:hAnsiTheme="minorHAnsi" w:cstheme="minorHAnsi"/>
                <w:bCs/>
                <w:color w:val="000000"/>
              </w:rPr>
            </w:pPr>
            <w:r w:rsidRPr="00C81547">
              <w:rPr>
                <w:rFonts w:asciiTheme="minorHAnsi" w:hAnsiTheme="minorHAnsi" w:cstheme="minorHAnsi"/>
                <w:bCs/>
                <w:color w:val="000000"/>
              </w:rPr>
              <w:t>Rozbudowa Platformy e-Usług Urzędu Komunikacji Elektronicznej</w:t>
            </w:r>
          </w:p>
        </w:tc>
      </w:tr>
      <w:tr w:rsidR="007A0A3D" w:rsidRPr="00C81547" w:rsidTr="00180E1F">
        <w:trPr>
          <w:trHeight w:val="265"/>
        </w:trPr>
        <w:tc>
          <w:tcPr>
            <w:tcW w:w="562" w:type="dxa"/>
          </w:tcPr>
          <w:p w:rsidR="007A0A3D" w:rsidRPr="00C81547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7A0A3D" w:rsidRPr="00C81547" w:rsidRDefault="007A0A3D" w:rsidP="00A1534B">
            <w:pPr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11631" w:type="dxa"/>
          </w:tcPr>
          <w:p w:rsidR="001C611C" w:rsidRPr="00C81547" w:rsidRDefault="00A644D8" w:rsidP="005302DE">
            <w:pPr>
              <w:pStyle w:val="Other0"/>
              <w:rPr>
                <w:rFonts w:asciiTheme="minorHAnsi" w:hAnsiTheme="minorHAnsi" w:cstheme="minorHAnsi"/>
                <w:bCs/>
                <w:color w:val="000000"/>
              </w:rPr>
            </w:pPr>
            <w:r w:rsidRPr="00C81547">
              <w:rPr>
                <w:rFonts w:asciiTheme="minorHAnsi" w:hAnsiTheme="minorHAnsi" w:cstheme="minorHAnsi"/>
                <w:bCs/>
                <w:color w:val="000000"/>
              </w:rPr>
              <w:t>Urząd Komunikacji Elektronicznej</w:t>
            </w:r>
          </w:p>
        </w:tc>
      </w:tr>
      <w:tr w:rsidR="007A0A3D" w:rsidRPr="00C81547" w:rsidTr="00180E1F">
        <w:tc>
          <w:tcPr>
            <w:tcW w:w="562" w:type="dxa"/>
          </w:tcPr>
          <w:p w:rsidR="007A0A3D" w:rsidRPr="00C81547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7A0A3D" w:rsidRPr="00C81547" w:rsidRDefault="007A0A3D" w:rsidP="007A0A3D">
            <w:pPr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11631" w:type="dxa"/>
          </w:tcPr>
          <w:p w:rsidR="007A0A3D" w:rsidRPr="00C81547" w:rsidRDefault="00A644D8" w:rsidP="005302DE">
            <w:pPr>
              <w:pStyle w:val="Other0"/>
              <w:rPr>
                <w:rFonts w:asciiTheme="minorHAnsi" w:hAnsiTheme="minorHAnsi" w:cstheme="minorHAnsi"/>
                <w:bCs/>
                <w:color w:val="000000"/>
              </w:rPr>
            </w:pPr>
            <w:r w:rsidRPr="00C81547">
              <w:rPr>
                <w:rFonts w:asciiTheme="minorHAnsi" w:hAnsiTheme="minorHAnsi" w:cstheme="minorHAnsi"/>
                <w:bCs/>
                <w:color w:val="000000"/>
              </w:rPr>
              <w:t>Nie dotyczy</w:t>
            </w:r>
          </w:p>
        </w:tc>
      </w:tr>
      <w:tr w:rsidR="003B107D" w:rsidRPr="00C81547" w:rsidTr="00180E1F">
        <w:trPr>
          <w:trHeight w:val="4400"/>
        </w:trPr>
        <w:tc>
          <w:tcPr>
            <w:tcW w:w="562" w:type="dxa"/>
          </w:tcPr>
          <w:p w:rsidR="003B107D" w:rsidRPr="00C81547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3B107D" w:rsidRPr="00C81547" w:rsidRDefault="005A4344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11631" w:type="dxa"/>
          </w:tcPr>
          <w:p w:rsidR="00EB0AF4" w:rsidRPr="00C81547" w:rsidRDefault="00EB0AF4" w:rsidP="00EB0AF4">
            <w:pPr>
              <w:pStyle w:val="Other0"/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bCs/>
                <w:color w:val="000000"/>
              </w:rPr>
              <w:t xml:space="preserve">Pierwotny planowany koszt realizacji projektu: </w:t>
            </w:r>
            <w:r w:rsidR="005302DE" w:rsidRPr="00C81547">
              <w:rPr>
                <w:rFonts w:asciiTheme="minorHAnsi" w:hAnsiTheme="minorHAnsi" w:cstheme="minorHAnsi"/>
                <w:bCs/>
                <w:color w:val="000000"/>
              </w:rPr>
              <w:t>6 000 000 PLN</w:t>
            </w:r>
          </w:p>
          <w:p w:rsidR="00EB0AF4" w:rsidRPr="00C81547" w:rsidRDefault="00EB0AF4" w:rsidP="00EB0AF4">
            <w:pPr>
              <w:pStyle w:val="Other0"/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bCs/>
                <w:color w:val="000000"/>
              </w:rPr>
              <w:t xml:space="preserve">Ostatni planowany koszt realizacji projektu: </w:t>
            </w:r>
            <w:r w:rsidR="005302DE" w:rsidRPr="00C81547">
              <w:rPr>
                <w:rFonts w:asciiTheme="minorHAnsi" w:hAnsiTheme="minorHAnsi" w:cstheme="minorHAnsi"/>
                <w:bCs/>
                <w:color w:val="000000"/>
              </w:rPr>
              <w:t>6 000 000 PLN</w:t>
            </w:r>
          </w:p>
          <w:p w:rsidR="00EB0AF4" w:rsidRPr="00C81547" w:rsidRDefault="00EB0AF4" w:rsidP="00EB0AF4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  <w:r w:rsidRPr="00C81547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>Faktyczny koszt projektu:</w:t>
            </w:r>
            <w:r w:rsidRPr="00C81547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 w:rsidR="005302DE" w:rsidRPr="00C81547">
              <w:rPr>
                <w:rFonts w:asciiTheme="minorHAnsi" w:hAnsiTheme="minorHAnsi" w:cstheme="minorHAnsi"/>
                <w:b/>
                <w:bCs/>
                <w:iCs/>
              </w:rPr>
              <w:t>5 769 728,74 PLN</w:t>
            </w:r>
          </w:p>
          <w:p w:rsidR="00EB0AF4" w:rsidRPr="00C81547" w:rsidRDefault="00EB0AF4" w:rsidP="00EB0AF4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  <w:r w:rsidRPr="00C81547">
              <w:rPr>
                <w:rFonts w:asciiTheme="minorHAnsi" w:hAnsiTheme="minorHAnsi" w:cstheme="minorHAnsi"/>
                <w:b/>
                <w:bCs/>
                <w:iCs/>
              </w:rPr>
              <w:t>Poziom</w:t>
            </w:r>
            <w:r w:rsidRPr="00C81547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 xml:space="preserve"> realizacji</w:t>
            </w:r>
            <w:r w:rsidRPr="00C81547">
              <w:rPr>
                <w:rFonts w:asciiTheme="minorHAnsi" w:hAnsiTheme="minorHAnsi" w:cstheme="minorHAnsi"/>
                <w:b/>
                <w:bCs/>
                <w:iCs/>
              </w:rPr>
              <w:t xml:space="preserve"> kosztów w stosunku do ostatniego planu</w:t>
            </w:r>
            <w:r w:rsidRPr="00C81547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 xml:space="preserve">: </w:t>
            </w:r>
            <w:r w:rsidR="005302DE" w:rsidRPr="00C81547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>96,16%</w:t>
            </w:r>
          </w:p>
          <w:p w:rsidR="0008159F" w:rsidRPr="00C81547" w:rsidRDefault="0008159F" w:rsidP="005103D2">
            <w:pPr>
              <w:pStyle w:val="Other0"/>
              <w:rPr>
                <w:rFonts w:asciiTheme="minorHAnsi" w:hAnsiTheme="minorHAnsi" w:cstheme="minorHAnsi"/>
                <w:color w:val="000000"/>
              </w:rPr>
            </w:pPr>
          </w:p>
          <w:p w:rsidR="005103D2" w:rsidRPr="00C81547" w:rsidRDefault="005302DE" w:rsidP="005103D2">
            <w:pPr>
              <w:pStyle w:val="Other0"/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color w:val="000000"/>
              </w:rPr>
              <w:t>W projekcie wygenerowano o</w:t>
            </w:r>
            <w:r w:rsidR="005103D2" w:rsidRPr="00C81547">
              <w:rPr>
                <w:rFonts w:asciiTheme="minorHAnsi" w:hAnsiTheme="minorHAnsi" w:cstheme="minorHAnsi"/>
                <w:color w:val="000000"/>
              </w:rPr>
              <w:t xml:space="preserve">szczędności </w:t>
            </w:r>
            <w:r w:rsidR="005103D2" w:rsidRPr="00C81547">
              <w:rPr>
                <w:rFonts w:asciiTheme="minorHAnsi" w:hAnsiTheme="minorHAnsi" w:cstheme="minorHAnsi"/>
              </w:rPr>
              <w:t xml:space="preserve">w wysokości </w:t>
            </w:r>
            <w:r w:rsidR="0008159F" w:rsidRPr="00C81547">
              <w:rPr>
                <w:rFonts w:asciiTheme="minorHAnsi" w:hAnsiTheme="minorHAnsi" w:cstheme="minorHAnsi"/>
                <w:b/>
                <w:bCs/>
                <w:color w:val="000000"/>
              </w:rPr>
              <w:t>230</w:t>
            </w:r>
            <w:r w:rsidR="00C81547" w:rsidRPr="00C81547">
              <w:rPr>
                <w:rFonts w:asciiTheme="minorHAnsi" w:hAnsiTheme="minorHAnsi" w:cstheme="minorHAnsi"/>
                <w:b/>
                <w:bCs/>
                <w:color w:val="000000"/>
              </w:rPr>
              <w:t> 271,26</w:t>
            </w:r>
            <w:r w:rsidR="0008159F" w:rsidRPr="00C8154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PLN (3,84%). </w:t>
            </w:r>
            <w:r w:rsidR="0008159F" w:rsidRPr="00C81547">
              <w:rPr>
                <w:rFonts w:asciiTheme="minorHAnsi" w:hAnsiTheme="minorHAnsi" w:cstheme="minorHAnsi"/>
                <w:bCs/>
                <w:color w:val="000000"/>
              </w:rPr>
              <w:t>Oszczędności</w:t>
            </w:r>
            <w:r w:rsidR="005103D2" w:rsidRPr="00C81547">
              <w:rPr>
                <w:rFonts w:asciiTheme="minorHAnsi" w:hAnsiTheme="minorHAnsi" w:cstheme="minorHAnsi"/>
              </w:rPr>
              <w:t xml:space="preserve"> </w:t>
            </w:r>
            <w:r w:rsidR="005103D2" w:rsidRPr="00C81547">
              <w:rPr>
                <w:rFonts w:asciiTheme="minorHAnsi" w:hAnsiTheme="minorHAnsi" w:cstheme="minorHAnsi"/>
                <w:color w:val="000000"/>
              </w:rPr>
              <w:t>zostały wygenerowane w poniższych zadaniach:</w:t>
            </w:r>
          </w:p>
          <w:p w:rsidR="005103D2" w:rsidRPr="00C81547" w:rsidRDefault="005103D2" w:rsidP="005103D2">
            <w:pPr>
              <w:pStyle w:val="Other0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b/>
                <w:color w:val="000000"/>
              </w:rPr>
              <w:t>Zadanie 1</w:t>
            </w:r>
            <w:r w:rsidR="00C033A1" w:rsidRPr="00C81547">
              <w:rPr>
                <w:rFonts w:asciiTheme="minorHAnsi" w:hAnsiTheme="minorHAnsi" w:cstheme="minorHAnsi"/>
                <w:b/>
                <w:color w:val="000000"/>
              </w:rPr>
              <w:t>. Opracowanie i wdrożenie zmodyfikowanego systemu PUE</w:t>
            </w:r>
            <w:r w:rsidRPr="00C81547">
              <w:rPr>
                <w:rFonts w:asciiTheme="minorHAnsi" w:hAnsiTheme="minorHAnsi" w:cstheme="minorHAnsi"/>
                <w:b/>
              </w:rPr>
              <w:t>:</w:t>
            </w:r>
            <w:r w:rsidRPr="00C81547">
              <w:rPr>
                <w:rFonts w:asciiTheme="minorHAnsi" w:hAnsiTheme="minorHAnsi" w:cstheme="minorHAnsi"/>
              </w:rPr>
              <w:t xml:space="preserve"> </w:t>
            </w:r>
            <w:r w:rsidR="00C81547" w:rsidRPr="00C81547">
              <w:rPr>
                <w:rFonts w:asciiTheme="minorHAnsi" w:hAnsiTheme="minorHAnsi" w:cstheme="minorHAnsi"/>
              </w:rPr>
              <w:t>120 296,08 PLN, co stanowi 2,42% oszczędności w Zadaniu (wydatkowanie na poziomie 97,58%)</w:t>
            </w:r>
          </w:p>
          <w:p w:rsidR="005103D2" w:rsidRPr="00C81547" w:rsidRDefault="005103D2" w:rsidP="005103D2">
            <w:pPr>
              <w:pStyle w:val="Other0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b/>
                <w:color w:val="000000"/>
              </w:rPr>
              <w:t>Zadanie 2</w:t>
            </w:r>
            <w:r w:rsidR="00C033A1" w:rsidRPr="00C81547">
              <w:rPr>
                <w:rFonts w:asciiTheme="minorHAnsi" w:hAnsiTheme="minorHAnsi" w:cstheme="minorHAnsi"/>
                <w:b/>
                <w:color w:val="000000"/>
              </w:rPr>
              <w:t>. Szkolenia</w:t>
            </w:r>
            <w:r w:rsidRPr="00C81547">
              <w:rPr>
                <w:rFonts w:asciiTheme="minorHAnsi" w:hAnsiTheme="minorHAnsi" w:cstheme="minorHAnsi"/>
                <w:b/>
              </w:rPr>
              <w:t>:</w:t>
            </w:r>
            <w:r w:rsidRPr="00C81547">
              <w:rPr>
                <w:rFonts w:asciiTheme="minorHAnsi" w:hAnsiTheme="minorHAnsi" w:cstheme="minorHAnsi"/>
              </w:rPr>
              <w:t xml:space="preserve"> </w:t>
            </w:r>
            <w:r w:rsidR="00C033A1" w:rsidRPr="00C81547">
              <w:rPr>
                <w:rFonts w:asciiTheme="minorHAnsi" w:hAnsiTheme="minorHAnsi" w:cstheme="minorHAnsi"/>
              </w:rPr>
              <w:t>5 520 PLN, co stanowi 18,7% oszczędności w Zadaniu (wydatkowanie na poziomie 81,30%)</w:t>
            </w:r>
          </w:p>
          <w:p w:rsidR="005103D2" w:rsidRPr="00C81547" w:rsidRDefault="005103D2" w:rsidP="005103D2">
            <w:pPr>
              <w:pStyle w:val="Other0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b/>
                <w:color w:val="000000"/>
              </w:rPr>
              <w:t>Zadanie 3</w:t>
            </w:r>
            <w:r w:rsidR="00C033A1" w:rsidRPr="00C81547">
              <w:rPr>
                <w:rFonts w:asciiTheme="minorHAnsi" w:hAnsiTheme="minorHAnsi" w:cstheme="minorHAnsi"/>
                <w:b/>
                <w:color w:val="000000"/>
              </w:rPr>
              <w:t>. Zarządzanie projektem</w:t>
            </w:r>
            <w:r w:rsidRPr="00C81547">
              <w:rPr>
                <w:rFonts w:asciiTheme="minorHAnsi" w:hAnsiTheme="minorHAnsi" w:cstheme="minorHAnsi"/>
                <w:b/>
              </w:rPr>
              <w:t>:</w:t>
            </w:r>
            <w:r w:rsidR="00C033A1" w:rsidRPr="00C81547">
              <w:rPr>
                <w:rFonts w:asciiTheme="minorHAnsi" w:hAnsiTheme="minorHAnsi" w:cstheme="minorHAnsi"/>
                <w:b/>
              </w:rPr>
              <w:t xml:space="preserve"> </w:t>
            </w:r>
            <w:r w:rsidR="00C033A1" w:rsidRPr="00C81547">
              <w:rPr>
                <w:rFonts w:asciiTheme="minorHAnsi" w:hAnsiTheme="minorHAnsi" w:cstheme="minorHAnsi"/>
              </w:rPr>
              <w:t>73 439,28 PLN, co stanowi 8,68 % oszczędności w Zadaniu</w:t>
            </w:r>
            <w:r w:rsidRPr="00C81547">
              <w:rPr>
                <w:rFonts w:asciiTheme="minorHAnsi" w:hAnsiTheme="minorHAnsi" w:cstheme="minorHAnsi"/>
              </w:rPr>
              <w:t xml:space="preserve"> </w:t>
            </w:r>
            <w:r w:rsidR="00C033A1" w:rsidRPr="00C81547">
              <w:rPr>
                <w:rFonts w:asciiTheme="minorHAnsi" w:hAnsiTheme="minorHAnsi" w:cstheme="minorHAnsi"/>
              </w:rPr>
              <w:t>(wydatkowanie w Zadaniu na poziomie 91,32%)</w:t>
            </w:r>
          </w:p>
          <w:p w:rsidR="005103D2" w:rsidRPr="00C81547" w:rsidRDefault="005103D2" w:rsidP="005103D2">
            <w:pPr>
              <w:pStyle w:val="Other0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</w:rPr>
            </w:pPr>
            <w:r w:rsidRPr="00C81547">
              <w:rPr>
                <w:rFonts w:asciiTheme="minorHAnsi" w:hAnsiTheme="minorHAnsi" w:cstheme="minorHAnsi"/>
                <w:b/>
                <w:color w:val="000000"/>
              </w:rPr>
              <w:t>Zadanie 4</w:t>
            </w:r>
            <w:r w:rsidR="00C033A1" w:rsidRPr="00C81547">
              <w:rPr>
                <w:rFonts w:asciiTheme="minorHAnsi" w:hAnsiTheme="minorHAnsi" w:cstheme="minorHAnsi"/>
                <w:b/>
                <w:color w:val="000000"/>
              </w:rPr>
              <w:t>. Działania informacyjne i promocyjne</w:t>
            </w:r>
            <w:r w:rsidRPr="00C81547">
              <w:rPr>
                <w:rFonts w:asciiTheme="minorHAnsi" w:hAnsiTheme="minorHAnsi" w:cstheme="minorHAnsi"/>
                <w:b/>
                <w:color w:val="000000"/>
              </w:rPr>
              <w:t>:</w:t>
            </w:r>
            <w:r w:rsidR="00C033A1" w:rsidRPr="00C81547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C033A1" w:rsidRPr="00C81547">
              <w:rPr>
                <w:rFonts w:asciiTheme="minorHAnsi" w:hAnsiTheme="minorHAnsi" w:cstheme="minorHAnsi"/>
                <w:color w:val="000000"/>
              </w:rPr>
              <w:t>20 000 PLN, co stanowi 100% oszczędności w Zadaniu</w:t>
            </w:r>
            <w:r w:rsidRPr="00C81547">
              <w:rPr>
                <w:rFonts w:asciiTheme="minorHAnsi" w:hAnsiTheme="minorHAnsi" w:cstheme="minorHAnsi"/>
              </w:rPr>
              <w:t xml:space="preserve"> </w:t>
            </w:r>
            <w:r w:rsidR="00C033A1" w:rsidRPr="00C81547">
              <w:rPr>
                <w:rFonts w:asciiTheme="minorHAnsi" w:hAnsiTheme="minorHAnsi" w:cstheme="minorHAnsi"/>
              </w:rPr>
              <w:t>(wydatkowanie w Zadaniu na poziomie 0%)</w:t>
            </w:r>
          </w:p>
          <w:p w:rsidR="00C033A1" w:rsidRPr="00C81547" w:rsidRDefault="00C033A1" w:rsidP="005103D2">
            <w:pPr>
              <w:pStyle w:val="Other0"/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</w:rPr>
            </w:pPr>
            <w:r w:rsidRPr="00C81547">
              <w:rPr>
                <w:rFonts w:asciiTheme="minorHAnsi" w:hAnsiTheme="minorHAnsi" w:cstheme="minorHAnsi"/>
              </w:rPr>
              <w:t>Koszty pośrednie: 11 015,90 PLN, co stanowi 8,68% oszczędności w Zadaniu (wydatkowanie na poziomie 91,32%)</w:t>
            </w:r>
          </w:p>
          <w:p w:rsidR="00EB0AF4" w:rsidRPr="00C81547" w:rsidRDefault="00EB0AF4" w:rsidP="00BC120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  <w:r w:rsidRPr="00C81547">
              <w:rPr>
                <w:rFonts w:asciiTheme="minorHAnsi" w:hAnsiTheme="minorHAnsi" w:cstheme="minorHAnsi"/>
                <w:b/>
                <w:bCs/>
                <w:iCs/>
              </w:rPr>
              <w:t>Wartość korekt finansowych nałożonych na Wykonawców:</w:t>
            </w:r>
            <w:r w:rsidR="005302DE" w:rsidRPr="00C81547">
              <w:rPr>
                <w:rFonts w:asciiTheme="minorHAnsi" w:hAnsiTheme="minorHAnsi" w:cstheme="minorHAnsi"/>
                <w:b/>
                <w:bCs/>
                <w:iCs/>
              </w:rPr>
              <w:t xml:space="preserve"> na Wykonawców w projekcie nie były nakładane korekty finansowe </w:t>
            </w: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  <w:r w:rsidRPr="00C81547">
              <w:rPr>
                <w:rFonts w:asciiTheme="minorHAnsi" w:hAnsiTheme="minorHAnsi" w:cstheme="minorHAnsi"/>
                <w:b/>
                <w:bCs/>
                <w:iCs/>
              </w:rPr>
              <w:t>Wartość korekt finansowych nałożonych na Beneficjenta:</w:t>
            </w:r>
            <w:r w:rsidR="005302DE" w:rsidRPr="00C81547">
              <w:rPr>
                <w:rFonts w:asciiTheme="minorHAnsi" w:hAnsiTheme="minorHAnsi" w:cstheme="minorHAnsi"/>
                <w:b/>
                <w:bCs/>
                <w:iCs/>
              </w:rPr>
              <w:t xml:space="preserve"> na Beneficjenta nie były nakładane korekty finansowe</w:t>
            </w:r>
          </w:p>
          <w:p w:rsidR="005103D2" w:rsidRPr="00C81547" w:rsidRDefault="005103D2" w:rsidP="005103D2">
            <w:pPr>
              <w:pStyle w:val="Other0"/>
              <w:tabs>
                <w:tab w:val="left" w:pos="422"/>
                <w:tab w:val="left" w:pos="917"/>
                <w:tab w:val="left" w:pos="1349"/>
                <w:tab w:val="left" w:pos="2501"/>
                <w:tab w:val="left" w:pos="3480"/>
                <w:tab w:val="left" w:pos="4406"/>
                <w:tab w:val="left" w:pos="5549"/>
                <w:tab w:val="left" w:pos="6350"/>
              </w:tabs>
              <w:rPr>
                <w:rFonts w:asciiTheme="minorHAnsi" w:hAnsiTheme="minorHAnsi" w:cstheme="minorHAnsi"/>
              </w:rPr>
            </w:pP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  <w:b/>
                <w:bCs/>
              </w:rPr>
            </w:pPr>
            <w:r w:rsidRPr="00C8154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Zakontraktowana wartość dofinansowania: </w:t>
            </w:r>
            <w:r w:rsidR="00DE6786">
              <w:rPr>
                <w:rFonts w:asciiTheme="minorHAnsi" w:hAnsiTheme="minorHAnsi" w:cstheme="minorHAnsi"/>
                <w:b/>
                <w:bCs/>
                <w:color w:val="000000"/>
              </w:rPr>
              <w:t>6 000 000 PLN</w:t>
            </w:r>
          </w:p>
          <w:p w:rsidR="001B3BB0" w:rsidRDefault="001B3BB0" w:rsidP="00C81547">
            <w:pPr>
              <w:pStyle w:val="Other0"/>
              <w:rPr>
                <w:rFonts w:asciiTheme="minorHAnsi" w:hAnsiTheme="minorHAnsi" w:cstheme="minorHAnsi"/>
                <w:b/>
                <w:i/>
              </w:rPr>
            </w:pPr>
          </w:p>
          <w:p w:rsidR="005103D2" w:rsidRPr="00C81547" w:rsidRDefault="005103D2" w:rsidP="00C81547">
            <w:pPr>
              <w:pStyle w:val="Other0"/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b/>
                <w:i/>
              </w:rPr>
              <w:t xml:space="preserve">Poziom certyfikacji w odniesieniu do zakontraktowanej wartości dofinansowania: </w:t>
            </w:r>
            <w:r w:rsidR="005302DE" w:rsidRPr="00C81547">
              <w:rPr>
                <w:rFonts w:asciiTheme="minorHAnsi" w:hAnsiTheme="minorHAnsi" w:cstheme="minorHAnsi"/>
                <w:b/>
                <w:i/>
              </w:rPr>
              <w:t>96,16%</w:t>
            </w:r>
          </w:p>
        </w:tc>
      </w:tr>
      <w:tr w:rsidR="007A0A3D" w:rsidRPr="00C81547" w:rsidTr="00180E1F">
        <w:tc>
          <w:tcPr>
            <w:tcW w:w="562" w:type="dxa"/>
          </w:tcPr>
          <w:p w:rsidR="007A0A3D" w:rsidRPr="00C81547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7A0A3D" w:rsidRPr="00C81547" w:rsidRDefault="005A4344">
            <w:pPr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11631" w:type="dxa"/>
          </w:tcPr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bCs/>
                <w:color w:val="000000"/>
              </w:rPr>
              <w:t xml:space="preserve">Pierwotna planowana data rozpoczęcia realizacji projektu: </w:t>
            </w:r>
            <w:r w:rsidR="003C09A0">
              <w:rPr>
                <w:rFonts w:asciiTheme="minorHAnsi" w:hAnsiTheme="minorHAnsi" w:cstheme="minorHAnsi"/>
                <w:bCs/>
                <w:color w:val="000000"/>
              </w:rPr>
              <w:t>1.12.2022</w:t>
            </w: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bCs/>
                <w:color w:val="000000"/>
              </w:rPr>
              <w:t xml:space="preserve">Ostatnia planowana data rozpoczęcia realizacji projektu: </w:t>
            </w:r>
            <w:r w:rsidR="003C09A0">
              <w:rPr>
                <w:rFonts w:asciiTheme="minorHAnsi" w:hAnsiTheme="minorHAnsi" w:cstheme="minorHAnsi"/>
                <w:bCs/>
                <w:color w:val="000000"/>
              </w:rPr>
              <w:t>1.12.2022</w:t>
            </w: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Faktyczna data rozpoczęcia realizacji projektu: </w:t>
            </w:r>
            <w:r w:rsidR="003C09A0" w:rsidRPr="003C09A0">
              <w:rPr>
                <w:rFonts w:asciiTheme="minorHAnsi" w:hAnsiTheme="minorHAnsi" w:cstheme="minorHAnsi"/>
                <w:bCs/>
                <w:color w:val="000000"/>
              </w:rPr>
              <w:t>13.01.2023 (data zawarcia Porozumienia o dofinansowanie projektu)</w:t>
            </w: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bCs/>
                <w:color w:val="000000"/>
              </w:rPr>
              <w:t xml:space="preserve">Pierwotna planowana data zakończenia realizacji projektu: </w:t>
            </w:r>
            <w:r w:rsidR="003C09A0">
              <w:rPr>
                <w:rFonts w:asciiTheme="minorHAnsi" w:hAnsiTheme="minorHAnsi" w:cstheme="minorHAnsi"/>
                <w:bCs/>
                <w:color w:val="000000"/>
              </w:rPr>
              <w:t>30.11.2023</w:t>
            </w: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</w:rPr>
            </w:pPr>
            <w:r w:rsidRPr="00C81547">
              <w:rPr>
                <w:rFonts w:asciiTheme="minorHAnsi" w:hAnsiTheme="minorHAnsi" w:cstheme="minorHAnsi"/>
                <w:bCs/>
                <w:color w:val="000000"/>
              </w:rPr>
              <w:t xml:space="preserve">Ostatnia planowana data zakończenia realizacji projektu: </w:t>
            </w:r>
            <w:r w:rsidR="003C09A0">
              <w:rPr>
                <w:rFonts w:asciiTheme="minorHAnsi" w:hAnsiTheme="minorHAnsi" w:cstheme="minorHAnsi"/>
                <w:bCs/>
                <w:color w:val="000000"/>
              </w:rPr>
              <w:t>31.12.2023</w:t>
            </w:r>
          </w:p>
          <w:p w:rsidR="005103D2" w:rsidRPr="00C81547" w:rsidRDefault="005103D2" w:rsidP="000659A4">
            <w:pPr>
              <w:pStyle w:val="Other0"/>
            </w:pPr>
            <w:r w:rsidRPr="00C8154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Faktyczna data zakończenia realizacji projektu: </w:t>
            </w:r>
            <w:r w:rsidR="003C09A0">
              <w:rPr>
                <w:rFonts w:asciiTheme="minorHAnsi" w:hAnsiTheme="minorHAnsi" w:cstheme="minorHAnsi"/>
                <w:b/>
                <w:bCs/>
                <w:color w:val="000000"/>
              </w:rPr>
              <w:t>31.12.2023</w:t>
            </w:r>
          </w:p>
          <w:p w:rsidR="005103D2" w:rsidRPr="00C81547" w:rsidRDefault="005103D2" w:rsidP="009D3D4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8154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Przyczyną zmiany terminu zakończenia realizacji projektu w stosunku do pierwotnego planu </w:t>
            </w:r>
            <w:r w:rsidR="003C09A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było </w:t>
            </w:r>
            <w:r w:rsidR="003C09A0" w:rsidRPr="003C09A0">
              <w:rPr>
                <w:rFonts w:asciiTheme="minorHAnsi" w:hAnsiTheme="minorHAnsi" w:cstheme="minorHAnsi"/>
                <w:bCs/>
                <w:color w:val="000000"/>
              </w:rPr>
              <w:t>zawarcie Aneksu nr 1 do Porozumienia, w którym za główną przyczynę opóźnień w realizacji projektu wskazano późniejsze, niż pierwotnie zakładano, zawarcie Porozumienia o dofinansowanie (13.01.2023).</w:t>
            </w: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2450C4" w:rsidRDefault="005103D2" w:rsidP="00C81547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81547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Wszystkie zadania w projekcie zostały zrealizowane zgodnie z planowanym zakresem. Status realizacji zadań na zakończenie projektu:</w:t>
            </w:r>
          </w:p>
          <w:tbl>
            <w:tblPr>
              <w:tblStyle w:val="Tabela-Siatka"/>
              <w:tblW w:w="11087" w:type="dxa"/>
              <w:tblLayout w:type="fixed"/>
              <w:tblLook w:val="04A0" w:firstRow="1" w:lastRow="0" w:firstColumn="1" w:lastColumn="0" w:noHBand="0" w:noVBand="1"/>
            </w:tblPr>
            <w:tblGrid>
              <w:gridCol w:w="1306"/>
              <w:gridCol w:w="1701"/>
              <w:gridCol w:w="7"/>
              <w:gridCol w:w="8073"/>
            </w:tblGrid>
            <w:tr w:rsidR="000659A4" w:rsidTr="00180E1F">
              <w:tc>
                <w:tcPr>
                  <w:tcW w:w="3014" w:type="dxa"/>
                  <w:gridSpan w:val="3"/>
                  <w:shd w:val="clear" w:color="auto" w:fill="D9D9D9" w:themeFill="background1" w:themeFillShade="D9"/>
                </w:tcPr>
                <w:p w:rsidR="000659A4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Zadanie </w:t>
                  </w:r>
                </w:p>
              </w:tc>
              <w:tc>
                <w:tcPr>
                  <w:tcW w:w="8073" w:type="dxa"/>
                  <w:shd w:val="clear" w:color="auto" w:fill="D9D9D9" w:themeFill="background1" w:themeFillShade="D9"/>
                </w:tcPr>
                <w:p w:rsidR="000659A4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Status realizacji </w:t>
                  </w:r>
                </w:p>
              </w:tc>
            </w:tr>
            <w:tr w:rsidR="000659A4" w:rsidTr="00180E1F">
              <w:tc>
                <w:tcPr>
                  <w:tcW w:w="1306" w:type="dxa"/>
                  <w:vMerge w:val="restart"/>
                </w:tcPr>
                <w:p w:rsidR="000659A4" w:rsidRPr="000659A4" w:rsidRDefault="000659A4" w:rsidP="000659A4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  <w:r w:rsidRPr="000659A4">
                    <w:rPr>
                      <w:rFonts w:asciiTheme="minorHAnsi" w:hAnsiTheme="minorHAnsi" w:cstheme="minorHAnsi"/>
                      <w:bCs/>
                      <w:color w:val="000000"/>
                    </w:rPr>
                    <w:t xml:space="preserve">Zadanie 1. </w:t>
                  </w:r>
                  <w:r w:rsidRPr="000659A4">
                    <w:rPr>
                      <w:rFonts w:asciiTheme="minorHAnsi" w:hAnsiTheme="minorHAnsi" w:cstheme="minorHAnsi"/>
                      <w:color w:val="000000"/>
                    </w:rPr>
                    <w:t>Opracowanie i wdrożenie zmodyfikowanego systemu PUE</w:t>
                  </w:r>
                </w:p>
              </w:tc>
              <w:tc>
                <w:tcPr>
                  <w:tcW w:w="1701" w:type="dxa"/>
                </w:tcPr>
                <w:p w:rsidR="000659A4" w:rsidRPr="000659A4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  <w:r w:rsidRPr="000659A4">
                    <w:rPr>
                      <w:rFonts w:asciiTheme="minorHAnsi" w:hAnsiTheme="minorHAnsi" w:cstheme="minorHAnsi"/>
                      <w:bCs/>
                      <w:color w:val="000000"/>
                    </w:rPr>
                    <w:t>Zadanie 1.1 Środki trwałe i wartości niematerialne i prawne - Oprogramowanie</w:t>
                  </w:r>
                </w:p>
              </w:tc>
              <w:tc>
                <w:tcPr>
                  <w:tcW w:w="8080" w:type="dxa"/>
                  <w:gridSpan w:val="2"/>
                </w:tcPr>
                <w:p w:rsidR="000659A4" w:rsidRPr="00C81547" w:rsidRDefault="000659A4" w:rsidP="000659A4">
                  <w:pPr>
                    <w:tabs>
                      <w:tab w:val="left" w:pos="5420"/>
                    </w:tabs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Zadanie zrealizowane i rozliczone</w:t>
                  </w: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 xml:space="preserve">. </w:t>
                  </w: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ab/>
                  </w:r>
                </w:p>
                <w:p w:rsidR="000659A4" w:rsidRPr="00C81547" w:rsidRDefault="000659A4" w:rsidP="000659A4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>Realizacja Zadania tożsama z realizacją umowy nr BA.WZP.26.25.2023, w ramach której Wykonawca zobowiązany był wykonać rozbudowę PUE w podziale na następujące etapy:</w:t>
                  </w:r>
                </w:p>
                <w:p w:rsidR="000659A4" w:rsidRPr="00C81547" w:rsidRDefault="000659A4" w:rsidP="000659A4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>Etap I SSO – zrealizowany przez Wykonawcę, odebrany przez Zamawiającego i rozliczony.</w:t>
                  </w:r>
                </w:p>
                <w:p w:rsidR="000659A4" w:rsidRPr="00C81547" w:rsidRDefault="000659A4" w:rsidP="000659A4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>Etap II MOUM – zrealizowany przez Wykonawcę, odebrany przez Zamawiającego i rozliczony</w:t>
                  </w:r>
                </w:p>
                <w:p w:rsidR="000659A4" w:rsidRDefault="000659A4" w:rsidP="000659A4">
                  <w:pPr>
                    <w:pStyle w:val="Other0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C81547">
                    <w:rPr>
                      <w:rFonts w:cstheme="minorHAnsi"/>
                      <w:i/>
                    </w:rPr>
                    <w:t>Etap III Rozbudowana PUE – zrealizowany przez Wykonawcę, odebrany przez Zamawiającego i rozliczony</w:t>
                  </w:r>
                </w:p>
              </w:tc>
            </w:tr>
            <w:tr w:rsidR="000659A4" w:rsidTr="00180E1F">
              <w:tc>
                <w:tcPr>
                  <w:tcW w:w="1306" w:type="dxa"/>
                  <w:vMerge/>
                </w:tcPr>
                <w:p w:rsidR="000659A4" w:rsidRPr="009567EF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</w:p>
              </w:tc>
              <w:tc>
                <w:tcPr>
                  <w:tcW w:w="1701" w:type="dxa"/>
                </w:tcPr>
                <w:p w:rsidR="000659A4" w:rsidRPr="009567EF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  <w:r w:rsidRPr="009567EF">
                    <w:rPr>
                      <w:rFonts w:asciiTheme="minorHAnsi" w:hAnsiTheme="minorHAnsi" w:cstheme="minorHAnsi"/>
                      <w:bCs/>
                      <w:color w:val="000000"/>
                    </w:rPr>
                    <w:t>Zadanie 1.2 Środki trwałe i wartości niematerialne i prawne - Sprzęt informatyczny</w:t>
                  </w:r>
                </w:p>
              </w:tc>
              <w:tc>
                <w:tcPr>
                  <w:tcW w:w="8080" w:type="dxa"/>
                  <w:gridSpan w:val="2"/>
                </w:tcPr>
                <w:p w:rsidR="000659A4" w:rsidRPr="00C81547" w:rsidRDefault="000659A4" w:rsidP="000659A4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Zadanie zrealizowane i rozliczone</w:t>
                  </w: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 xml:space="preserve">. </w:t>
                  </w:r>
                </w:p>
                <w:p w:rsidR="000659A4" w:rsidRDefault="000659A4" w:rsidP="000659A4">
                  <w:pPr>
                    <w:pStyle w:val="Other0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C81547">
                    <w:rPr>
                      <w:rFonts w:cstheme="minorHAnsi"/>
                      <w:i/>
                    </w:rPr>
                    <w:t>W ramach Zadania zakupiono półkę dyskową z 24 dyskami, która pozwoliła na rozbudowę macierzy będącej w posiadaniu Zamawiającego. Zadanie zrealizowane przez Wykonawcę, odebrane przez Zamawiającego i rozliczone.</w:t>
                  </w:r>
                </w:p>
              </w:tc>
            </w:tr>
            <w:tr w:rsidR="000659A4" w:rsidTr="00180E1F">
              <w:tc>
                <w:tcPr>
                  <w:tcW w:w="1306" w:type="dxa"/>
                  <w:vMerge/>
                </w:tcPr>
                <w:p w:rsidR="000659A4" w:rsidRPr="009567EF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</w:p>
              </w:tc>
              <w:tc>
                <w:tcPr>
                  <w:tcW w:w="1701" w:type="dxa"/>
                </w:tcPr>
                <w:p w:rsidR="000659A4" w:rsidRPr="009567EF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  <w:r w:rsidRPr="009567EF">
                    <w:rPr>
                      <w:rFonts w:asciiTheme="minorHAnsi" w:hAnsiTheme="minorHAnsi" w:cstheme="minorHAnsi"/>
                      <w:bCs/>
                      <w:color w:val="000000"/>
                    </w:rPr>
                    <w:t>Zadanie 1.3 Usługi zewnętrzne - Usługi informatyczne</w:t>
                  </w:r>
                </w:p>
              </w:tc>
              <w:tc>
                <w:tcPr>
                  <w:tcW w:w="8080" w:type="dxa"/>
                  <w:gridSpan w:val="2"/>
                </w:tcPr>
                <w:p w:rsidR="000659A4" w:rsidRPr="00C81547" w:rsidRDefault="000659A4" w:rsidP="000659A4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Zadanie zrealizowane i rozliczone</w:t>
                  </w: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 xml:space="preserve">: </w:t>
                  </w:r>
                </w:p>
                <w:p w:rsidR="000659A4" w:rsidRPr="00C81547" w:rsidRDefault="000659A4" w:rsidP="000659A4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>W ramach zadania zrealizowano następujące prace:</w:t>
                  </w:r>
                </w:p>
                <w:p w:rsidR="000659A4" w:rsidRPr="00C81547" w:rsidRDefault="000659A4" w:rsidP="000659A4">
                  <w:pPr>
                    <w:numPr>
                      <w:ilvl w:val="0"/>
                      <w:numId w:val="7"/>
                    </w:num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>Zadania związanie z UX/UI i testami po stronie Wykonawcy umowy nr BA.WZP.26.25.2023,</w:t>
                  </w:r>
                </w:p>
                <w:p w:rsidR="000659A4" w:rsidRPr="00C81547" w:rsidRDefault="000659A4" w:rsidP="000659A4">
                  <w:pPr>
                    <w:numPr>
                      <w:ilvl w:val="0"/>
                      <w:numId w:val="7"/>
                    </w:num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 xml:space="preserve">Audyt WCAG, </w:t>
                  </w:r>
                </w:p>
                <w:p w:rsidR="000659A4" w:rsidRPr="00C81547" w:rsidRDefault="000659A4" w:rsidP="000659A4">
                  <w:pPr>
                    <w:numPr>
                      <w:ilvl w:val="0"/>
                      <w:numId w:val="7"/>
                    </w:num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>Audyt bezpieczeństwa,</w:t>
                  </w:r>
                </w:p>
                <w:p w:rsidR="000659A4" w:rsidRPr="00C81547" w:rsidRDefault="000659A4" w:rsidP="000659A4">
                  <w:pPr>
                    <w:numPr>
                      <w:ilvl w:val="0"/>
                      <w:numId w:val="7"/>
                    </w:num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 xml:space="preserve">Usługa wsparcia eksperckiego w zakresie integracji PUE2.0 z ESOD, </w:t>
                  </w:r>
                </w:p>
                <w:p w:rsidR="000659A4" w:rsidRPr="00C81547" w:rsidRDefault="000659A4" w:rsidP="000659A4">
                  <w:pPr>
                    <w:numPr>
                      <w:ilvl w:val="0"/>
                      <w:numId w:val="7"/>
                    </w:num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>Usługa wsparcia eksperckiego w zakresie integracji PUE2.0 z TERYT i CEiDG,</w:t>
                  </w:r>
                </w:p>
                <w:p w:rsidR="000659A4" w:rsidRDefault="000659A4" w:rsidP="000659A4">
                  <w:pPr>
                    <w:numPr>
                      <w:ilvl w:val="0"/>
                      <w:numId w:val="7"/>
                    </w:num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 xml:space="preserve">Usługa wsparcia eksperckiego w zakresie zastosowania mechanizmów AI i testowania aplikacji przy zastosowaniu tych mechanizmów, </w:t>
                  </w:r>
                </w:p>
                <w:p w:rsidR="000659A4" w:rsidRPr="000659A4" w:rsidRDefault="000659A4" w:rsidP="000659A4">
                  <w:pPr>
                    <w:numPr>
                      <w:ilvl w:val="0"/>
                      <w:numId w:val="7"/>
                    </w:num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0659A4">
                    <w:rPr>
                      <w:rFonts w:cstheme="minorHAnsi"/>
                      <w:i/>
                      <w:sz w:val="18"/>
                      <w:szCs w:val="18"/>
                    </w:rPr>
                    <w:t xml:space="preserve">Zakup opinii eksperckiej dotyczącej postępowania przetargowego.  </w:t>
                  </w:r>
                </w:p>
              </w:tc>
            </w:tr>
            <w:tr w:rsidR="000659A4" w:rsidTr="00180E1F">
              <w:tc>
                <w:tcPr>
                  <w:tcW w:w="3014" w:type="dxa"/>
                  <w:gridSpan w:val="3"/>
                </w:tcPr>
                <w:p w:rsidR="000659A4" w:rsidRPr="000659A4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  <w:r w:rsidRPr="000659A4">
                    <w:rPr>
                      <w:rFonts w:asciiTheme="minorHAnsi" w:hAnsiTheme="minorHAnsi" w:cstheme="minorHAnsi"/>
                      <w:bCs/>
                      <w:color w:val="000000"/>
                    </w:rPr>
                    <w:t>Zadanie 2. Szkolenia</w:t>
                  </w:r>
                </w:p>
              </w:tc>
              <w:tc>
                <w:tcPr>
                  <w:tcW w:w="8073" w:type="dxa"/>
                </w:tcPr>
                <w:p w:rsidR="000659A4" w:rsidRPr="00C81547" w:rsidRDefault="000659A4" w:rsidP="000659A4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Zadanie zrealizowane</w:t>
                  </w:r>
                  <w:r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 xml:space="preserve"> i rozliczone</w:t>
                  </w: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 xml:space="preserve">. </w:t>
                  </w:r>
                </w:p>
                <w:p w:rsidR="000659A4" w:rsidRDefault="000659A4" w:rsidP="000659A4">
                  <w:pPr>
                    <w:pStyle w:val="Other0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C81547">
                    <w:rPr>
                      <w:rFonts w:cstheme="minorHAnsi"/>
                      <w:i/>
                    </w:rPr>
                    <w:t>Szkolenia w podziale na Etapy dla administratorów i użytkowników zostały zrealizowane w ramach umowy nr BA.WZP.26.25.2023</w:t>
                  </w:r>
                </w:p>
              </w:tc>
            </w:tr>
            <w:tr w:rsidR="000659A4" w:rsidTr="00180E1F">
              <w:tc>
                <w:tcPr>
                  <w:tcW w:w="3014" w:type="dxa"/>
                  <w:gridSpan w:val="3"/>
                </w:tcPr>
                <w:p w:rsidR="000659A4" w:rsidRPr="000659A4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  <w:r w:rsidRPr="000659A4">
                    <w:rPr>
                      <w:rFonts w:asciiTheme="minorHAnsi" w:hAnsiTheme="minorHAnsi" w:cstheme="minorHAnsi"/>
                      <w:bCs/>
                      <w:color w:val="000000"/>
                    </w:rPr>
                    <w:t>Zadanie 3. Zarządzanie projektem</w:t>
                  </w:r>
                </w:p>
              </w:tc>
              <w:tc>
                <w:tcPr>
                  <w:tcW w:w="8073" w:type="dxa"/>
                </w:tcPr>
                <w:p w:rsidR="000659A4" w:rsidRPr="00C81547" w:rsidRDefault="000659A4" w:rsidP="000659A4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Zadanie zrealizowane</w:t>
                  </w:r>
                  <w:r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 xml:space="preserve"> i rozliczone</w:t>
                  </w: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 xml:space="preserve">. </w:t>
                  </w:r>
                </w:p>
                <w:p w:rsidR="000659A4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C81547">
                    <w:rPr>
                      <w:rFonts w:cstheme="minorHAnsi"/>
                      <w:i/>
                    </w:rPr>
                    <w:t>W ramach zadania rozliczane były wynagrodzenia zespołu projektowego (rozszerzonego w trakcie projektu).</w:t>
                  </w:r>
                </w:p>
              </w:tc>
            </w:tr>
            <w:tr w:rsidR="000659A4" w:rsidTr="00180E1F">
              <w:tc>
                <w:tcPr>
                  <w:tcW w:w="3014" w:type="dxa"/>
                  <w:gridSpan w:val="3"/>
                </w:tcPr>
                <w:p w:rsidR="000659A4" w:rsidRPr="000659A4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  <w:r w:rsidRPr="000659A4">
                    <w:rPr>
                      <w:rFonts w:asciiTheme="minorHAnsi" w:hAnsiTheme="minorHAnsi" w:cstheme="minorHAnsi"/>
                      <w:bCs/>
                      <w:color w:val="000000"/>
                    </w:rPr>
                    <w:t>Zadanie 4. informacja i promocja.</w:t>
                  </w:r>
                </w:p>
              </w:tc>
              <w:tc>
                <w:tcPr>
                  <w:tcW w:w="8073" w:type="dxa"/>
                </w:tcPr>
                <w:p w:rsidR="000659A4" w:rsidRPr="00C81547" w:rsidRDefault="000659A4" w:rsidP="000659A4">
                  <w:pPr>
                    <w:jc w:val="both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Zadanie zrealizowane</w:t>
                  </w:r>
                  <w:r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 xml:space="preserve"> i rozliczone</w:t>
                  </w:r>
                  <w:r w:rsidRPr="00C81547">
                    <w:rPr>
                      <w:rFonts w:cstheme="minorHAnsi"/>
                      <w:i/>
                      <w:sz w:val="18"/>
                      <w:szCs w:val="18"/>
                    </w:rPr>
                    <w:t xml:space="preserve">. </w:t>
                  </w:r>
                </w:p>
                <w:p w:rsidR="000659A4" w:rsidRDefault="000659A4" w:rsidP="00C81547">
                  <w:pPr>
                    <w:pStyle w:val="Other0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C81547">
                    <w:rPr>
                      <w:rFonts w:cstheme="minorHAnsi"/>
                      <w:i/>
                    </w:rPr>
                    <w:t>Beneficjent zrealizował obowiązkowe działania promocyjne.</w:t>
                  </w:r>
                </w:p>
              </w:tc>
            </w:tr>
          </w:tbl>
          <w:p w:rsidR="00A70ABA" w:rsidRDefault="00A70ABA" w:rsidP="00C81547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435167" w:rsidRPr="00C81547" w:rsidRDefault="00435167" w:rsidP="009D3D4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:rsidR="00197250" w:rsidRPr="00C81547" w:rsidRDefault="00197250" w:rsidP="009D3D4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:rsidR="00197250" w:rsidRPr="00C81547" w:rsidRDefault="00197250" w:rsidP="009D3D4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81547">
              <w:rPr>
                <w:rFonts w:cstheme="minorHAnsi"/>
                <w:i/>
                <w:sz w:val="18"/>
                <w:szCs w:val="18"/>
              </w:rPr>
              <w:t>Stan realizacji kamieni milowych:</w:t>
            </w:r>
          </w:p>
          <w:tbl>
            <w:tblPr>
              <w:tblStyle w:val="Tabela-Siatka"/>
              <w:tblW w:w="10658" w:type="dxa"/>
              <w:tblLayout w:type="fixed"/>
              <w:tblLook w:val="04A0" w:firstRow="1" w:lastRow="0" w:firstColumn="1" w:lastColumn="0" w:noHBand="0" w:noVBand="1"/>
              <w:tblCaption w:val="Kamienie milowe."/>
            </w:tblPr>
            <w:tblGrid>
              <w:gridCol w:w="2440"/>
              <w:gridCol w:w="1306"/>
              <w:gridCol w:w="1306"/>
              <w:gridCol w:w="1212"/>
              <w:gridCol w:w="4394"/>
            </w:tblGrid>
            <w:tr w:rsidR="005103D2" w:rsidRPr="00C81547" w:rsidTr="00180E1F">
              <w:trPr>
                <w:tblHeader/>
              </w:trPr>
              <w:tc>
                <w:tcPr>
                  <w:tcW w:w="2440" w:type="dxa"/>
                  <w:shd w:val="clear" w:color="auto" w:fill="D0CECE" w:themeFill="background2" w:themeFillShade="E6"/>
                </w:tcPr>
                <w:p w:rsidR="005103D2" w:rsidRPr="00C81547" w:rsidRDefault="005103D2" w:rsidP="00197250">
                  <w:pPr>
                    <w:rPr>
                      <w:rFonts w:cstheme="minorHAnsi"/>
                      <w:b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b/>
                      <w:i/>
                      <w:sz w:val="18"/>
                      <w:szCs w:val="18"/>
                    </w:rPr>
                    <w:lastRenderedPageBreak/>
                    <w:t>Nazwa</w:t>
                  </w:r>
                </w:p>
              </w:tc>
              <w:tc>
                <w:tcPr>
                  <w:tcW w:w="1306" w:type="dxa"/>
                  <w:shd w:val="clear" w:color="auto" w:fill="D0CECE" w:themeFill="background2" w:themeFillShade="E6"/>
                </w:tcPr>
                <w:p w:rsidR="005103D2" w:rsidRPr="00C81547" w:rsidRDefault="005103D2" w:rsidP="00197250">
                  <w:pPr>
                    <w:rPr>
                      <w:rFonts w:cstheme="minorHAnsi"/>
                      <w:b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b/>
                      <w:i/>
                      <w:sz w:val="18"/>
                      <w:szCs w:val="18"/>
                    </w:rPr>
                    <w:t>Pierwotny planowany termin osiągnięcia</w:t>
                  </w:r>
                </w:p>
              </w:tc>
              <w:tc>
                <w:tcPr>
                  <w:tcW w:w="1306" w:type="dxa"/>
                  <w:shd w:val="clear" w:color="auto" w:fill="D0CECE" w:themeFill="background2" w:themeFillShade="E6"/>
                </w:tcPr>
                <w:p w:rsidR="005103D2" w:rsidRPr="00C81547" w:rsidRDefault="005103D2" w:rsidP="00197250">
                  <w:pPr>
                    <w:rPr>
                      <w:rFonts w:cstheme="minorHAnsi"/>
                      <w:b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b/>
                      <w:i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212" w:type="dxa"/>
                  <w:shd w:val="clear" w:color="auto" w:fill="D0CECE" w:themeFill="background2" w:themeFillShade="E6"/>
                </w:tcPr>
                <w:p w:rsidR="005103D2" w:rsidRPr="00C81547" w:rsidRDefault="005103D2" w:rsidP="00197250">
                  <w:pPr>
                    <w:rPr>
                      <w:rFonts w:cstheme="minorHAnsi"/>
                      <w:b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b/>
                      <w:i/>
                      <w:sz w:val="18"/>
                      <w:szCs w:val="18"/>
                    </w:rPr>
                    <w:t>Rzeczywisty termin osiągnięcia</w:t>
                  </w:r>
                </w:p>
              </w:tc>
              <w:tc>
                <w:tcPr>
                  <w:tcW w:w="4394" w:type="dxa"/>
                  <w:shd w:val="clear" w:color="auto" w:fill="D0CECE" w:themeFill="background2" w:themeFillShade="E6"/>
                </w:tcPr>
                <w:p w:rsidR="005103D2" w:rsidRPr="00C81547" w:rsidRDefault="005103D2" w:rsidP="00197250">
                  <w:pPr>
                    <w:rPr>
                      <w:rFonts w:cstheme="minorHAnsi"/>
                      <w:b/>
                      <w:i/>
                      <w:sz w:val="18"/>
                      <w:szCs w:val="18"/>
                    </w:rPr>
                  </w:pPr>
                  <w:r w:rsidRPr="00C81547">
                    <w:rPr>
                      <w:rFonts w:cstheme="minorHAnsi"/>
                      <w:b/>
                      <w:i/>
                      <w:sz w:val="18"/>
                      <w:szCs w:val="18"/>
                    </w:rPr>
                    <w:t>Status realizacji kamienia milowego</w:t>
                  </w:r>
                </w:p>
              </w:tc>
            </w:tr>
            <w:tr w:rsidR="00C93082" w:rsidRPr="00C81547" w:rsidTr="00180E1F">
              <w:tc>
                <w:tcPr>
                  <w:tcW w:w="2440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Opracowana szczegółowa koncepcja docelowego rozwiązania rozbudowy  Platformy PUE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01-12-2022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01-12-2022</w:t>
                  </w:r>
                </w:p>
              </w:tc>
              <w:tc>
                <w:tcPr>
                  <w:tcW w:w="1212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23-02-2023</w:t>
                  </w:r>
                </w:p>
              </w:tc>
              <w:tc>
                <w:tcPr>
                  <w:tcW w:w="4394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Osiągnięty. Kamień milowy został osiągnięty w późniejszym terminie ze względu na późne zawarcie Porozumienia o dofinansowanie, tj. dopiero 13 stycznia 2023 r.</w:t>
                  </w:r>
                </w:p>
              </w:tc>
            </w:tr>
            <w:tr w:rsidR="00C93082" w:rsidRPr="00C81547" w:rsidTr="00180E1F">
              <w:tc>
                <w:tcPr>
                  <w:tcW w:w="2440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Zawarta umowa z Wykonawcą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2023-02-15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2023-02-15</w:t>
                  </w:r>
                </w:p>
              </w:tc>
              <w:tc>
                <w:tcPr>
                  <w:tcW w:w="1212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31-08-2023</w:t>
                  </w:r>
                </w:p>
              </w:tc>
              <w:tc>
                <w:tcPr>
                  <w:tcW w:w="4394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Osiągnięty. Kamień milowy został osiągnięty w późniejszym terminie ze względu na konieczność powtórzenia postępowania przetargowego</w:t>
                  </w:r>
                </w:p>
              </w:tc>
            </w:tr>
            <w:tr w:rsidR="00C93082" w:rsidRPr="00C81547" w:rsidTr="00180E1F">
              <w:tc>
                <w:tcPr>
                  <w:tcW w:w="2440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Przekazane zmodernizowane SSO do testów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2023-04-14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2023-04-14</w:t>
                  </w:r>
                </w:p>
              </w:tc>
              <w:tc>
                <w:tcPr>
                  <w:tcW w:w="1212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2023-10-13</w:t>
                  </w:r>
                </w:p>
              </w:tc>
              <w:tc>
                <w:tcPr>
                  <w:tcW w:w="4394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Osiągnięty. Kamień milowy został osiągnięty w terminie wynikającym z wprowadzonych i zatwierdzonych przez Instytucję Pośredniczącą zmian we wniosku o dofinansowanie.</w:t>
                  </w:r>
                </w:p>
              </w:tc>
            </w:tr>
            <w:tr w:rsidR="00C93082" w:rsidRPr="00C81547" w:rsidTr="00180E1F">
              <w:tc>
                <w:tcPr>
                  <w:tcW w:w="2440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Zakończone testy SSO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2023-06-15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2023-06-15</w:t>
                  </w:r>
                </w:p>
              </w:tc>
              <w:tc>
                <w:tcPr>
                  <w:tcW w:w="1212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2023-11-08</w:t>
                  </w:r>
                </w:p>
              </w:tc>
              <w:tc>
                <w:tcPr>
                  <w:tcW w:w="4394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Osiągnięty. Kamień milowy został osiągnięty w terminie wynikającym z wprowadzonych i zatwierdzonych przez Instytucję Pośredniczącą zmian we wniosku o dofinansowanie.</w:t>
                  </w:r>
                </w:p>
              </w:tc>
            </w:tr>
            <w:tr w:rsidR="00C93082" w:rsidRPr="00C81547" w:rsidTr="00180E1F">
              <w:tc>
                <w:tcPr>
                  <w:tcW w:w="2440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Przekazana rozbudowana Platforma PUE do testów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2023-07-31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2023-07-31</w:t>
                  </w:r>
                </w:p>
              </w:tc>
              <w:tc>
                <w:tcPr>
                  <w:tcW w:w="1212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2023-12-</w:t>
                  </w:r>
                  <w: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01</w:t>
                  </w:r>
                </w:p>
              </w:tc>
              <w:tc>
                <w:tcPr>
                  <w:tcW w:w="4394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Osiągnięty. Kamień milowy został osiągnięty w terminie wynikającym z wprowadzonych i zatwierdzonych przez Instytucję Pośredniczącą zmian we wniosku o dofinansowanie.</w:t>
                  </w:r>
                </w:p>
              </w:tc>
            </w:tr>
            <w:tr w:rsidR="00C93082" w:rsidRPr="00C81547" w:rsidTr="00180E1F">
              <w:tc>
                <w:tcPr>
                  <w:tcW w:w="2440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Zakończone testy rozbudowanej Platformy PUE i wdrożone poprawki po testach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2023-09-30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2023-09-30</w:t>
                  </w:r>
                </w:p>
              </w:tc>
              <w:tc>
                <w:tcPr>
                  <w:tcW w:w="1212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2023-12-14</w:t>
                  </w:r>
                </w:p>
              </w:tc>
              <w:tc>
                <w:tcPr>
                  <w:tcW w:w="4394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Osiągnięty. Kamień milowy został osiągnięty w terminie wynikającym z wprowadzonych i zatwierdzonych przez Instytucję Pośredniczącą zmian we wniosku o dofinansowanie</w:t>
                  </w:r>
                </w:p>
              </w:tc>
            </w:tr>
            <w:tr w:rsidR="00C93082" w:rsidRPr="00C81547" w:rsidTr="00180E1F">
              <w:tc>
                <w:tcPr>
                  <w:tcW w:w="2440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Uruchomiona rozbudowana Platforma PUE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2023-10-31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2023-10-31</w:t>
                  </w:r>
                </w:p>
              </w:tc>
              <w:tc>
                <w:tcPr>
                  <w:tcW w:w="1212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2023-12-14</w:t>
                  </w:r>
                </w:p>
              </w:tc>
              <w:tc>
                <w:tcPr>
                  <w:tcW w:w="4394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Osiągnięty. Kamień milowy został osiągnięty w terminie wynikającym z wprowadzonych i zatwierdzonych przez Instytucję Pośredniczącą zmian we wniosku o dofinansowanie.</w:t>
                  </w:r>
                </w:p>
              </w:tc>
            </w:tr>
            <w:tr w:rsidR="00C93082" w:rsidRPr="00C81547" w:rsidTr="00180E1F">
              <w:tc>
                <w:tcPr>
                  <w:tcW w:w="2440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Zakończone szkolenia dla pracowników obsługujących projekt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2023-11-2</w:t>
                  </w: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0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2023-11-</w:t>
                  </w:r>
                  <w: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</w:t>
                  </w: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0</w:t>
                  </w:r>
                </w:p>
              </w:tc>
              <w:tc>
                <w:tcPr>
                  <w:tcW w:w="1212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2023-12-</w:t>
                  </w:r>
                  <w: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14</w:t>
                  </w:r>
                </w:p>
              </w:tc>
              <w:tc>
                <w:tcPr>
                  <w:tcW w:w="4394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Osiągnięty. Kamień milowy został osiągnięty w terminie wynikającym z wprowadzonych i zatwierdzonych przez Instytucję Pośredniczącą zmian we wniosku o dofinansowanie</w:t>
                  </w:r>
                </w:p>
              </w:tc>
            </w:tr>
            <w:tr w:rsidR="00C93082" w:rsidRPr="00C81547" w:rsidTr="00180E1F">
              <w:tc>
                <w:tcPr>
                  <w:tcW w:w="2440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Odebrana Platforma PUE 2.0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2023-11-2</w:t>
                  </w: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0</w:t>
                  </w:r>
                </w:p>
              </w:tc>
              <w:tc>
                <w:tcPr>
                  <w:tcW w:w="1306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2023-11-</w:t>
                  </w:r>
                  <w: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</w:t>
                  </w: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0</w:t>
                  </w:r>
                </w:p>
              </w:tc>
              <w:tc>
                <w:tcPr>
                  <w:tcW w:w="1212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2023-12-14</w:t>
                  </w:r>
                </w:p>
              </w:tc>
              <w:tc>
                <w:tcPr>
                  <w:tcW w:w="4394" w:type="dxa"/>
                </w:tcPr>
                <w:p w:rsidR="00C93082" w:rsidRPr="00C81547" w:rsidRDefault="00C93082" w:rsidP="00C93082">
                  <w:pPr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</w:pPr>
                  <w:r w:rsidRPr="00C81547">
                    <w:rPr>
                      <w:rFonts w:cstheme="minorHAnsi"/>
                      <w:i/>
                      <w:sz w:val="18"/>
                      <w:szCs w:val="18"/>
                      <w:lang w:eastAsia="pl-PL"/>
                    </w:rPr>
                    <w:t>Osiągnięty. Kamień milowy został osiągnięty w terminie wynikającym z wprowadzonych i zatwierdzonych przez Instytucję Pośredniczącą zmian we wniosku o dofinansowanie.</w:t>
                  </w:r>
                </w:p>
              </w:tc>
            </w:tr>
          </w:tbl>
          <w:p w:rsidR="00197250" w:rsidRPr="00C81547" w:rsidRDefault="00197250" w:rsidP="009D3D4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:rsidR="005103D2" w:rsidRPr="00C81547" w:rsidRDefault="005103D2" w:rsidP="005103D2">
            <w:pPr>
              <w:pStyle w:val="Tablecaption0"/>
              <w:rPr>
                <w:rFonts w:asciiTheme="minorHAnsi" w:hAnsiTheme="minorHAnsi" w:cstheme="minorHAnsi"/>
                <w:sz w:val="18"/>
                <w:szCs w:val="18"/>
              </w:rPr>
            </w:pPr>
            <w:r w:rsidRPr="00C815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W wyniku realizacji projektu powstały poniżej wymienione produkty: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840"/>
              <w:gridCol w:w="2083"/>
            </w:tblGrid>
            <w:tr w:rsidR="005103D2" w:rsidRPr="00C81547" w:rsidTr="007340BE">
              <w:tc>
                <w:tcPr>
                  <w:tcW w:w="5840" w:type="dxa"/>
                  <w:shd w:val="clear" w:color="auto" w:fill="D9D9D9" w:themeFill="background1" w:themeFillShade="D9"/>
                  <w:vAlign w:val="center"/>
                </w:tcPr>
                <w:p w:rsidR="005103D2" w:rsidRPr="00C81547" w:rsidRDefault="005103D2" w:rsidP="005103D2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C81547">
                    <w:rPr>
                      <w:rFonts w:asciiTheme="minorHAnsi" w:hAnsiTheme="minorHAnsi" w:cstheme="minorHAnsi"/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2083" w:type="dxa"/>
                  <w:shd w:val="clear" w:color="auto" w:fill="D9D9D9" w:themeFill="background1" w:themeFillShade="D9"/>
                  <w:vAlign w:val="center"/>
                </w:tcPr>
                <w:p w:rsidR="005103D2" w:rsidRPr="00C81547" w:rsidRDefault="005103D2" w:rsidP="005103D2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C81547">
                    <w:rPr>
                      <w:rFonts w:asciiTheme="minorHAnsi" w:hAnsiTheme="minorHAnsi" w:cstheme="minorHAnsi"/>
                      <w:b/>
                      <w:bCs/>
                    </w:rPr>
                    <w:t>Data wdrożenia</w:t>
                  </w:r>
                </w:p>
              </w:tc>
            </w:tr>
            <w:tr w:rsidR="005103D2" w:rsidRPr="00C81547" w:rsidTr="007340BE">
              <w:tc>
                <w:tcPr>
                  <w:tcW w:w="5840" w:type="dxa"/>
                  <w:vAlign w:val="center"/>
                </w:tcPr>
                <w:p w:rsidR="005103D2" w:rsidRPr="00C81547" w:rsidRDefault="00891869" w:rsidP="005103D2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891869">
                    <w:rPr>
                      <w:rFonts w:asciiTheme="minorHAnsi" w:hAnsiTheme="minorHAnsi" w:cstheme="minorHAnsi"/>
                    </w:rPr>
                    <w:t>Zmodernizowany system SSO</w:t>
                  </w:r>
                </w:p>
              </w:tc>
              <w:tc>
                <w:tcPr>
                  <w:tcW w:w="2083" w:type="dxa"/>
                  <w:vAlign w:val="center"/>
                </w:tcPr>
                <w:p w:rsidR="005103D2" w:rsidRPr="00C81547" w:rsidRDefault="00891869" w:rsidP="005103D2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11-2023</w:t>
                  </w:r>
                </w:p>
              </w:tc>
            </w:tr>
            <w:tr w:rsidR="00891869" w:rsidRPr="00C81547" w:rsidTr="007340BE">
              <w:tc>
                <w:tcPr>
                  <w:tcW w:w="5840" w:type="dxa"/>
                </w:tcPr>
                <w:p w:rsidR="00891869" w:rsidRPr="00C81547" w:rsidRDefault="00891869" w:rsidP="00891869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0B3501">
                    <w:t>Mikroserwis polegający na udostępnianiu API między systemami UKE</w:t>
                  </w:r>
                </w:p>
              </w:tc>
              <w:tc>
                <w:tcPr>
                  <w:tcW w:w="2083" w:type="dxa"/>
                  <w:vAlign w:val="center"/>
                </w:tcPr>
                <w:p w:rsidR="00891869" w:rsidRPr="00C81547" w:rsidRDefault="00891869" w:rsidP="00891869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12-2023</w:t>
                  </w:r>
                </w:p>
              </w:tc>
            </w:tr>
            <w:tr w:rsidR="00891869" w:rsidRPr="00C81547" w:rsidTr="007340BE">
              <w:tc>
                <w:tcPr>
                  <w:tcW w:w="5840" w:type="dxa"/>
                </w:tcPr>
                <w:p w:rsidR="00891869" w:rsidRPr="00C81547" w:rsidRDefault="00891869" w:rsidP="00891869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0B3501">
                    <w:t>Materiały informacyjno-promocyjne</w:t>
                  </w:r>
                </w:p>
              </w:tc>
              <w:tc>
                <w:tcPr>
                  <w:tcW w:w="2083" w:type="dxa"/>
                  <w:vAlign w:val="center"/>
                </w:tcPr>
                <w:p w:rsidR="00891869" w:rsidRPr="00C81547" w:rsidRDefault="00891869" w:rsidP="00891869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12-2023</w:t>
                  </w:r>
                </w:p>
              </w:tc>
            </w:tr>
            <w:tr w:rsidR="00891869" w:rsidRPr="00C81547" w:rsidTr="007340BE">
              <w:tc>
                <w:tcPr>
                  <w:tcW w:w="5840" w:type="dxa"/>
                </w:tcPr>
                <w:p w:rsidR="00891869" w:rsidRPr="00C81547" w:rsidRDefault="00891869" w:rsidP="00891869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0B3501">
                    <w:t>Przeprowadzone szkolenia</w:t>
                  </w:r>
                </w:p>
              </w:tc>
              <w:tc>
                <w:tcPr>
                  <w:tcW w:w="2083" w:type="dxa"/>
                  <w:vAlign w:val="center"/>
                </w:tcPr>
                <w:p w:rsidR="00891869" w:rsidRPr="00C81547" w:rsidRDefault="00891869" w:rsidP="00891869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12-2023</w:t>
                  </w:r>
                </w:p>
              </w:tc>
            </w:tr>
            <w:tr w:rsidR="00891869" w:rsidRPr="00C81547" w:rsidTr="007340BE">
              <w:tc>
                <w:tcPr>
                  <w:tcW w:w="5840" w:type="dxa"/>
                </w:tcPr>
                <w:p w:rsidR="00891869" w:rsidRPr="00C81547" w:rsidRDefault="00891869" w:rsidP="00891869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0B3501">
                    <w:t>Zmodyfikowany i przebudowany system PUE</w:t>
                  </w:r>
                </w:p>
              </w:tc>
              <w:tc>
                <w:tcPr>
                  <w:tcW w:w="2083" w:type="dxa"/>
                  <w:vAlign w:val="center"/>
                </w:tcPr>
                <w:p w:rsidR="00891869" w:rsidRPr="00C81547" w:rsidRDefault="00891869" w:rsidP="00891869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12-2023</w:t>
                  </w:r>
                </w:p>
              </w:tc>
            </w:tr>
          </w:tbl>
          <w:p w:rsidR="00197250" w:rsidRPr="00C81547" w:rsidRDefault="00197250" w:rsidP="009D3D4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81547">
              <w:rPr>
                <w:rFonts w:asciiTheme="minorHAnsi" w:hAnsiTheme="minorHAnsi" w:cstheme="minorHAnsi"/>
                <w:b/>
                <w:bCs/>
                <w:color w:val="000000"/>
              </w:rPr>
              <w:t>Zmiany i przyczyna zmian w zakresie głównych produktów projektu w stosunku do pierwotnego planu dotyczą:</w:t>
            </w:r>
            <w:r w:rsidR="0089186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nie dotyczy </w:t>
            </w:r>
          </w:p>
          <w:p w:rsidR="005103D2" w:rsidRPr="00C81547" w:rsidRDefault="005103D2" w:rsidP="009D3D4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4D135D" w:rsidRPr="00C81547" w:rsidTr="00180E1F">
        <w:tc>
          <w:tcPr>
            <w:tcW w:w="562" w:type="dxa"/>
          </w:tcPr>
          <w:p w:rsidR="004D135D" w:rsidRPr="00C81547" w:rsidRDefault="004D135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4D135D" w:rsidRPr="00C81547" w:rsidRDefault="004D135D">
            <w:pPr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11631" w:type="dxa"/>
          </w:tcPr>
          <w:p w:rsidR="004D135D" w:rsidRPr="00C81547" w:rsidRDefault="00A644D8" w:rsidP="00E30008">
            <w:pPr>
              <w:rPr>
                <w:rFonts w:cstheme="minorHAnsi"/>
                <w:bCs/>
                <w:sz w:val="18"/>
                <w:szCs w:val="18"/>
              </w:rPr>
            </w:pPr>
            <w:r w:rsidRPr="00C81547">
              <w:rPr>
                <w:rFonts w:cstheme="minorHAnsi"/>
                <w:bCs/>
                <w:sz w:val="18"/>
                <w:szCs w:val="18"/>
              </w:rPr>
              <w:t xml:space="preserve">Projekt nie dotyczył budowy e-usług dla obywateli i przedsiębiorców. </w:t>
            </w:r>
          </w:p>
          <w:p w:rsidR="00A644D8" w:rsidRPr="00C81547" w:rsidRDefault="00A644D8" w:rsidP="00E30008">
            <w:pPr>
              <w:rPr>
                <w:rFonts w:cstheme="minorHAnsi"/>
                <w:bCs/>
                <w:i/>
                <w:sz w:val="18"/>
                <w:szCs w:val="18"/>
              </w:rPr>
            </w:pPr>
            <w:r w:rsidRPr="00C81547">
              <w:rPr>
                <w:rFonts w:cstheme="minorHAnsi"/>
                <w:bCs/>
                <w:sz w:val="18"/>
                <w:szCs w:val="18"/>
              </w:rPr>
              <w:t>Projekt koncentrował się wyłącznie na działaniach back-office zgodnie z celami określonymi dla działania 2.2 Cyfryzacja procesów back-office w administracji rządowej</w:t>
            </w:r>
          </w:p>
        </w:tc>
      </w:tr>
      <w:tr w:rsidR="00920CE8" w:rsidRPr="00C81547" w:rsidTr="00180E1F">
        <w:tc>
          <w:tcPr>
            <w:tcW w:w="562" w:type="dxa"/>
          </w:tcPr>
          <w:p w:rsidR="00920CE8" w:rsidRPr="00C81547" w:rsidRDefault="00920CE8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920CE8" w:rsidRPr="00C81547" w:rsidRDefault="00920CE8" w:rsidP="0092099A">
            <w:pPr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11631" w:type="dxa"/>
          </w:tcPr>
          <w:p w:rsidR="002D200F" w:rsidRPr="00C81547" w:rsidRDefault="002D200F" w:rsidP="002D200F">
            <w:pPr>
              <w:spacing w:line="276" w:lineRule="auto"/>
              <w:jc w:val="both"/>
              <w:rPr>
                <w:rFonts w:eastAsiaTheme="minorEastAsia" w:cstheme="minorHAnsi"/>
                <w:b/>
                <w:bCs/>
                <w:sz w:val="18"/>
                <w:szCs w:val="18"/>
              </w:rPr>
            </w:pPr>
            <w:r w:rsidRPr="00C81547">
              <w:rPr>
                <w:rFonts w:eastAsiaTheme="minorEastAsia" w:cstheme="minorHAnsi"/>
                <w:b/>
                <w:bCs/>
                <w:sz w:val="18"/>
                <w:szCs w:val="18"/>
              </w:rPr>
              <w:t>Projekt realizuje cele określone w następujących dokumentach strategicznych:</w:t>
            </w:r>
          </w:p>
          <w:p w:rsidR="002D200F" w:rsidRPr="00C81547" w:rsidRDefault="002D200F" w:rsidP="002D200F">
            <w:pPr>
              <w:pStyle w:val="Akapitzlist"/>
              <w:numPr>
                <w:ilvl w:val="0"/>
                <w:numId w:val="8"/>
              </w:numPr>
              <w:spacing w:after="160" w:line="276" w:lineRule="auto"/>
              <w:jc w:val="both"/>
              <w:rPr>
                <w:rFonts w:eastAsiaTheme="minorEastAsia" w:cstheme="minorHAnsi"/>
                <w:b/>
                <w:bCs/>
                <w:sz w:val="18"/>
                <w:szCs w:val="18"/>
              </w:rPr>
            </w:pPr>
            <w:r w:rsidRPr="00C81547">
              <w:rPr>
                <w:rFonts w:eastAsia="Arial" w:cstheme="minorHAnsi"/>
                <w:b/>
                <w:bCs/>
                <w:sz w:val="18"/>
                <w:szCs w:val="18"/>
              </w:rPr>
              <w:t>Program Zintegrowanej Informatyzacji Państwa (</w:t>
            </w:r>
            <w:r w:rsidRPr="00C81547">
              <w:rPr>
                <w:rFonts w:eastAsia="Arial" w:cstheme="minorHAnsi"/>
                <w:sz w:val="18"/>
                <w:szCs w:val="18"/>
              </w:rPr>
              <w:t>Cel główny: modernizacja administracji publicznej i usprawnienie funkcjonowania państwa przy wykorzystaniu technologii cyfrowych cel szczegółowy: Wzmocnienie dojrzałości organizacyjnej jednostek administracji publicznej oraz usprawnienie zaplecza elektronicznej administracji (back office) (o którym mowa w pkt 4.2.2 Programu).</w:t>
            </w:r>
          </w:p>
          <w:p w:rsidR="002D200F" w:rsidRPr="00C81547" w:rsidRDefault="002D200F" w:rsidP="002D200F">
            <w:pPr>
              <w:pStyle w:val="Akapitzlist"/>
              <w:numPr>
                <w:ilvl w:val="0"/>
                <w:numId w:val="8"/>
              </w:numPr>
              <w:spacing w:after="160" w:line="276" w:lineRule="auto"/>
              <w:jc w:val="both"/>
              <w:rPr>
                <w:rFonts w:eastAsiaTheme="minorEastAsia" w:cstheme="minorHAnsi"/>
                <w:b/>
                <w:bCs/>
                <w:sz w:val="18"/>
                <w:szCs w:val="18"/>
              </w:rPr>
            </w:pPr>
            <w:r w:rsidRPr="00C81547">
              <w:rPr>
                <w:rFonts w:eastAsia="Arial" w:cstheme="minorHAnsi"/>
                <w:b/>
                <w:bCs/>
                <w:sz w:val="18"/>
                <w:szCs w:val="18"/>
              </w:rPr>
              <w:t xml:space="preserve">Strategia na rzecz Odpowiedzialnego Rozwoju do roku 2020 (z perspektywą do 2030 r.) - </w:t>
            </w:r>
            <w:r w:rsidRPr="00C81547">
              <w:rPr>
                <w:rFonts w:eastAsia="Arial" w:cstheme="minorHAnsi"/>
                <w:sz w:val="18"/>
                <w:szCs w:val="18"/>
              </w:rPr>
              <w:t>Obszar: E-państwo / Kierunek Interwencji: Budowa i rozwój e-administracji – orientacja administracji państwa na usługi cyfrowe.</w:t>
            </w:r>
          </w:p>
          <w:p w:rsidR="00920CE8" w:rsidRPr="00C81547" w:rsidRDefault="002D200F" w:rsidP="0090416B">
            <w:pPr>
              <w:pStyle w:val="Akapitzlist"/>
              <w:numPr>
                <w:ilvl w:val="0"/>
                <w:numId w:val="8"/>
              </w:numPr>
              <w:spacing w:after="160"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eastAsia="Arial" w:cstheme="minorHAnsi"/>
                <w:b/>
                <w:bCs/>
                <w:sz w:val="18"/>
                <w:szCs w:val="18"/>
              </w:rPr>
              <w:t>„Strategiczne kierunki działań Prezesa UKE w latach 2017-2021”</w:t>
            </w:r>
            <w:r w:rsidRPr="00C81547">
              <w:rPr>
                <w:rFonts w:eastAsia="Arial" w:cstheme="minorHAnsi"/>
                <w:bCs/>
                <w:sz w:val="18"/>
                <w:szCs w:val="18"/>
              </w:rPr>
              <w:t xml:space="preserve"> Kierunek: Budowa przyjaznego i dostępnego Urzędu, cel szczegółowy – Podnoszenie standardów działania.</w:t>
            </w: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  <w:b/>
                <w:bCs/>
              </w:rPr>
            </w:pPr>
            <w:r w:rsidRPr="00C81547">
              <w:rPr>
                <w:rFonts w:asciiTheme="minorHAnsi" w:hAnsiTheme="minorHAnsi" w:cstheme="minorHAnsi"/>
                <w:b/>
                <w:bCs/>
              </w:rPr>
              <w:t>W ramach projektu osiągnięto następujące wskaźniki:</w:t>
            </w:r>
          </w:p>
          <w:tbl>
            <w:tblPr>
              <w:tblW w:w="113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091"/>
              <w:gridCol w:w="1551"/>
              <w:gridCol w:w="1710"/>
              <w:gridCol w:w="2019"/>
            </w:tblGrid>
            <w:tr w:rsidR="00891869" w:rsidRPr="00A70ABA" w:rsidTr="00A70ABA">
              <w:tc>
                <w:tcPr>
                  <w:tcW w:w="6091" w:type="dxa"/>
                  <w:shd w:val="clear" w:color="auto" w:fill="D9D9D9" w:themeFill="background1" w:themeFillShade="D9"/>
                  <w:vAlign w:val="center"/>
                </w:tcPr>
                <w:p w:rsidR="00891869" w:rsidRPr="00180E1F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b/>
                      <w:sz w:val="18"/>
                      <w:szCs w:val="20"/>
                    </w:rPr>
                  </w:pPr>
                  <w:r w:rsidRPr="00180E1F">
                    <w:rPr>
                      <w:rFonts w:asciiTheme="majorHAnsi" w:hAnsiTheme="majorHAnsi" w:cstheme="majorHAnsi"/>
                      <w:b/>
                      <w:sz w:val="18"/>
                      <w:szCs w:val="20"/>
                    </w:rPr>
                    <w:t>Nazwa wskaźnika</w:t>
                  </w:r>
                </w:p>
              </w:tc>
              <w:tc>
                <w:tcPr>
                  <w:tcW w:w="1551" w:type="dxa"/>
                  <w:shd w:val="clear" w:color="auto" w:fill="D9D9D9" w:themeFill="background1" w:themeFillShade="D9"/>
                  <w:vAlign w:val="center"/>
                </w:tcPr>
                <w:p w:rsidR="00891869" w:rsidRPr="00180E1F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b/>
                      <w:sz w:val="18"/>
                      <w:szCs w:val="20"/>
                    </w:rPr>
                  </w:pPr>
                  <w:r w:rsidRPr="00180E1F">
                    <w:rPr>
                      <w:rFonts w:asciiTheme="majorHAnsi" w:hAnsiTheme="majorHAnsi" w:cstheme="majorHAnsi"/>
                      <w:b/>
                      <w:sz w:val="18"/>
                      <w:szCs w:val="20"/>
                    </w:rPr>
                    <w:t>Jednostka miary</w:t>
                  </w:r>
                </w:p>
              </w:tc>
              <w:tc>
                <w:tcPr>
                  <w:tcW w:w="1710" w:type="dxa"/>
                  <w:shd w:val="clear" w:color="auto" w:fill="D9D9D9" w:themeFill="background1" w:themeFillShade="D9"/>
                  <w:vAlign w:val="center"/>
                </w:tcPr>
                <w:p w:rsidR="00891869" w:rsidRPr="00180E1F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b/>
                      <w:sz w:val="18"/>
                      <w:szCs w:val="20"/>
                    </w:rPr>
                  </w:pPr>
                  <w:r w:rsidRPr="00180E1F">
                    <w:rPr>
                      <w:rFonts w:asciiTheme="majorHAnsi" w:hAnsiTheme="majorHAnsi" w:cstheme="majorHAnsi"/>
                      <w:b/>
                      <w:sz w:val="18"/>
                      <w:szCs w:val="20"/>
                    </w:rPr>
                    <w:t>Wartość docelowa</w:t>
                  </w:r>
                </w:p>
              </w:tc>
              <w:tc>
                <w:tcPr>
                  <w:tcW w:w="2019" w:type="dxa"/>
                  <w:shd w:val="clear" w:color="auto" w:fill="D9D9D9" w:themeFill="background1" w:themeFillShade="D9"/>
                </w:tcPr>
                <w:p w:rsidR="00891869" w:rsidRPr="00180E1F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b/>
                      <w:sz w:val="18"/>
                      <w:szCs w:val="20"/>
                    </w:rPr>
                  </w:pPr>
                  <w:r w:rsidRPr="00180E1F">
                    <w:rPr>
                      <w:rFonts w:asciiTheme="majorHAnsi" w:hAnsiTheme="majorHAnsi" w:cstheme="majorHAnsi"/>
                      <w:b/>
                      <w:sz w:val="18"/>
                      <w:szCs w:val="20"/>
                    </w:rPr>
                    <w:t>Wartość osiągnięta</w:t>
                  </w:r>
                </w:p>
              </w:tc>
            </w:tr>
            <w:tr w:rsidR="00891869" w:rsidRPr="00A70ABA" w:rsidTr="00A70ABA">
              <w:tc>
                <w:tcPr>
                  <w:tcW w:w="609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Liczba urzędów, które wdrożyły katalog rekomendacji dotyczących awansu cyfrowego</w:t>
                  </w:r>
                </w:p>
              </w:tc>
              <w:tc>
                <w:tcPr>
                  <w:tcW w:w="155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710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2019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1</w:t>
                  </w:r>
                </w:p>
              </w:tc>
            </w:tr>
            <w:tr w:rsidR="00891869" w:rsidRPr="00A70ABA" w:rsidTr="00A70ABA">
              <w:tc>
                <w:tcPr>
                  <w:tcW w:w="609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Liczba uruchomionych systemów teleinformatycznych w podmiotach wykonujących zadania publiczne</w:t>
                  </w:r>
                </w:p>
              </w:tc>
              <w:tc>
                <w:tcPr>
                  <w:tcW w:w="155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710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2019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1</w:t>
                  </w:r>
                </w:p>
              </w:tc>
            </w:tr>
            <w:tr w:rsidR="00891869" w:rsidRPr="00A70ABA" w:rsidTr="00A70ABA">
              <w:tc>
                <w:tcPr>
                  <w:tcW w:w="609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  <w:highlight w:val="yellow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Liczba pracowników IT podmiotów wykonujących zadania publiczne objętych wsparciem szkoleniowym</w:t>
                  </w:r>
                </w:p>
              </w:tc>
              <w:tc>
                <w:tcPr>
                  <w:tcW w:w="155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710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6</w:t>
                  </w:r>
                </w:p>
              </w:tc>
              <w:tc>
                <w:tcPr>
                  <w:tcW w:w="2019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6</w:t>
                  </w:r>
                </w:p>
              </w:tc>
            </w:tr>
            <w:tr w:rsidR="00891869" w:rsidRPr="00A70ABA" w:rsidTr="00A70ABA">
              <w:tc>
                <w:tcPr>
                  <w:tcW w:w="609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  <w:highlight w:val="yellow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Liczba pracowników IT podmiotów wykonujących zadania publiczne objętych wsparciem szkoleniowym - kobiety</w:t>
                  </w:r>
                  <w:r w:rsidRPr="00A70ABA" w:rsidDel="00017C1E">
                    <w:rPr>
                      <w:rFonts w:asciiTheme="majorHAnsi" w:hAnsiTheme="majorHAnsi" w:cstheme="majorHAnsi"/>
                      <w:sz w:val="18"/>
                      <w:szCs w:val="20"/>
                    </w:rPr>
                    <w:t xml:space="preserve"> </w:t>
                  </w:r>
                </w:p>
              </w:tc>
              <w:tc>
                <w:tcPr>
                  <w:tcW w:w="155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710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2019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0</w:t>
                  </w:r>
                </w:p>
              </w:tc>
            </w:tr>
            <w:tr w:rsidR="00891869" w:rsidRPr="00A70ABA" w:rsidTr="00A70ABA">
              <w:tc>
                <w:tcPr>
                  <w:tcW w:w="609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  <w:highlight w:val="yellow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 xml:space="preserve">Liczba pracowników IT podmiotów wykonujących zadania publiczne objętych wsparciem szkoleniowym </w:t>
                  </w:r>
                  <w:r w:rsidR="00DA28E3">
                    <w:rPr>
                      <w:rFonts w:asciiTheme="majorHAnsi" w:hAnsiTheme="majorHAnsi" w:cstheme="majorHAnsi"/>
                      <w:sz w:val="18"/>
                      <w:szCs w:val="20"/>
                    </w:rPr>
                    <w:t>–</w:t>
                  </w: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 xml:space="preserve"> mężczyźni</w:t>
                  </w:r>
                </w:p>
              </w:tc>
              <w:tc>
                <w:tcPr>
                  <w:tcW w:w="155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710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6</w:t>
                  </w:r>
                </w:p>
              </w:tc>
              <w:tc>
                <w:tcPr>
                  <w:tcW w:w="2019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6</w:t>
                  </w:r>
                </w:p>
              </w:tc>
            </w:tr>
            <w:tr w:rsidR="00891869" w:rsidRPr="00A70ABA" w:rsidTr="00A70ABA">
              <w:tc>
                <w:tcPr>
                  <w:tcW w:w="609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pacing w:val="-2"/>
                      <w:sz w:val="18"/>
                      <w:szCs w:val="20"/>
                      <w:highlight w:val="yellow"/>
                    </w:rPr>
                  </w:pPr>
                  <w:r w:rsidRPr="00A70ABA">
                    <w:rPr>
                      <w:rFonts w:asciiTheme="majorHAnsi" w:hAnsiTheme="majorHAnsi" w:cstheme="majorHAnsi"/>
                      <w:spacing w:val="-2"/>
                      <w:sz w:val="18"/>
                      <w:szCs w:val="20"/>
                    </w:rPr>
                    <w:lastRenderedPageBreak/>
                    <w:t>Liczba pracowników podmiotów wykonujących zadania publiczne niebędących pracownikami IT, objętych wsparciem szkoleniowym</w:t>
                  </w:r>
                  <w:r w:rsidRPr="00A70ABA" w:rsidDel="00017C1E">
                    <w:rPr>
                      <w:rFonts w:asciiTheme="majorHAnsi" w:hAnsiTheme="majorHAnsi" w:cstheme="majorHAnsi"/>
                      <w:spacing w:val="-2"/>
                      <w:sz w:val="18"/>
                      <w:szCs w:val="20"/>
                    </w:rPr>
                    <w:t xml:space="preserve"> </w:t>
                  </w:r>
                </w:p>
              </w:tc>
              <w:tc>
                <w:tcPr>
                  <w:tcW w:w="155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710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30</w:t>
                  </w:r>
                </w:p>
              </w:tc>
              <w:tc>
                <w:tcPr>
                  <w:tcW w:w="2019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32</w:t>
                  </w:r>
                </w:p>
              </w:tc>
            </w:tr>
            <w:tr w:rsidR="00891869" w:rsidRPr="00A70ABA" w:rsidTr="00A70ABA">
              <w:tc>
                <w:tcPr>
                  <w:tcW w:w="609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pacing w:val="-2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pacing w:val="-2"/>
                      <w:sz w:val="18"/>
                      <w:szCs w:val="20"/>
                    </w:rPr>
                    <w:t>Liczba pracowników podmiotów wykonujących zadania publiczne niebędących pracownikami IT, objętych wsparciem szkoleniowym - kobiety</w:t>
                  </w:r>
                </w:p>
              </w:tc>
              <w:tc>
                <w:tcPr>
                  <w:tcW w:w="155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710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15</w:t>
                  </w:r>
                </w:p>
              </w:tc>
              <w:tc>
                <w:tcPr>
                  <w:tcW w:w="2019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17</w:t>
                  </w:r>
                </w:p>
              </w:tc>
            </w:tr>
            <w:tr w:rsidR="00891869" w:rsidRPr="00A70ABA" w:rsidTr="00A70ABA">
              <w:tc>
                <w:tcPr>
                  <w:tcW w:w="609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pacing w:val="-2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pacing w:val="-2"/>
                      <w:sz w:val="18"/>
                      <w:szCs w:val="20"/>
                    </w:rPr>
                    <w:t>Liczba pracowników podmiotów wykonujących zadania publiczne niebędących pracownikami IT, objętych wsparciem szkoleniowym - mężczyźni</w:t>
                  </w:r>
                </w:p>
              </w:tc>
              <w:tc>
                <w:tcPr>
                  <w:tcW w:w="1551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osoby</w:t>
                  </w:r>
                </w:p>
              </w:tc>
              <w:tc>
                <w:tcPr>
                  <w:tcW w:w="1710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15</w:t>
                  </w:r>
                </w:p>
              </w:tc>
              <w:tc>
                <w:tcPr>
                  <w:tcW w:w="2019" w:type="dxa"/>
                  <w:vAlign w:val="center"/>
                </w:tcPr>
                <w:p w:rsidR="00891869" w:rsidRPr="00A70ABA" w:rsidRDefault="00891869" w:rsidP="00891869">
                  <w:pPr>
                    <w:spacing w:before="40" w:after="40"/>
                    <w:rPr>
                      <w:rFonts w:asciiTheme="majorHAnsi" w:hAnsiTheme="majorHAnsi" w:cstheme="majorHAnsi"/>
                      <w:sz w:val="18"/>
                      <w:szCs w:val="20"/>
                    </w:rPr>
                  </w:pPr>
                  <w:r w:rsidRPr="00A70ABA">
                    <w:rPr>
                      <w:rFonts w:asciiTheme="majorHAnsi" w:hAnsiTheme="majorHAnsi" w:cstheme="majorHAnsi"/>
                      <w:sz w:val="18"/>
                      <w:szCs w:val="20"/>
                    </w:rPr>
                    <w:t>15</w:t>
                  </w:r>
                </w:p>
              </w:tc>
            </w:tr>
          </w:tbl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  <w:b/>
                <w:bCs/>
              </w:rPr>
            </w:pP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</w:rPr>
            </w:pP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81547">
              <w:rPr>
                <w:rFonts w:asciiTheme="minorHAnsi" w:hAnsiTheme="minorHAnsi" w:cstheme="minorHAnsi"/>
                <w:b/>
                <w:bCs/>
                <w:color w:val="000000"/>
              </w:rPr>
              <w:t>Zmiany i przyczyna zmian w zakresie wskaźników w stosunku do pierwotnego planu dotyczą:</w:t>
            </w:r>
            <w:r w:rsidR="0089186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nie dotyczy </w:t>
            </w:r>
          </w:p>
          <w:p w:rsidR="005103D2" w:rsidRPr="00C81547" w:rsidRDefault="005103D2" w:rsidP="005103D2">
            <w:pPr>
              <w:pStyle w:val="Other0"/>
              <w:rPr>
                <w:rFonts w:asciiTheme="minorHAnsi" w:hAnsiTheme="minorHAnsi" w:cstheme="minorHAnsi"/>
              </w:rPr>
            </w:pPr>
          </w:p>
          <w:p w:rsidR="005103D2" w:rsidRPr="00C81547" w:rsidRDefault="001B3BB0" w:rsidP="005103D2">
            <w:pPr>
              <w:pStyle w:val="Other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W projekcie nie zdefiniowano wskaźników rezultatu. </w:t>
            </w:r>
          </w:p>
          <w:p w:rsidR="005103D2" w:rsidRPr="00C81547" w:rsidRDefault="005103D2" w:rsidP="005103D2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7A0A3D" w:rsidRPr="00C81547" w:rsidTr="00180E1F">
        <w:trPr>
          <w:trHeight w:val="4141"/>
        </w:trPr>
        <w:tc>
          <w:tcPr>
            <w:tcW w:w="562" w:type="dxa"/>
          </w:tcPr>
          <w:p w:rsidR="007A0A3D" w:rsidRPr="00C81547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7A0A3D" w:rsidRPr="00C81547" w:rsidRDefault="005D4188" w:rsidP="00A6601B">
            <w:pPr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>Ryzyka i problemy</w:t>
            </w:r>
          </w:p>
        </w:tc>
        <w:tc>
          <w:tcPr>
            <w:tcW w:w="11631" w:type="dxa"/>
          </w:tcPr>
          <w:p w:rsidR="007A0A3D" w:rsidRDefault="00435167" w:rsidP="00BC120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81547">
              <w:rPr>
                <w:rFonts w:cstheme="minorHAnsi"/>
                <w:i/>
                <w:sz w:val="18"/>
                <w:szCs w:val="18"/>
              </w:rPr>
              <w:t>Problemy</w:t>
            </w:r>
            <w:r w:rsidR="00F50EBE" w:rsidRPr="00C81547">
              <w:rPr>
                <w:rFonts w:cstheme="minorHAnsi"/>
                <w:i/>
                <w:sz w:val="18"/>
                <w:szCs w:val="18"/>
              </w:rPr>
              <w:t xml:space="preserve"> i ryzyka zidentyfikowane</w:t>
            </w:r>
            <w:r w:rsidRPr="00C81547">
              <w:rPr>
                <w:rFonts w:cstheme="minorHAnsi"/>
                <w:i/>
                <w:sz w:val="18"/>
                <w:szCs w:val="18"/>
              </w:rPr>
              <w:t xml:space="preserve"> w toku realizacji projektu:</w:t>
            </w:r>
          </w:p>
          <w:p w:rsidR="00DC3104" w:rsidRPr="00C81547" w:rsidRDefault="00DC3104" w:rsidP="00BC120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tbl>
            <w:tblPr>
              <w:tblStyle w:val="Tabela-Siatka"/>
              <w:tblW w:w="11369" w:type="dxa"/>
              <w:tblLayout w:type="fixed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3856"/>
              <w:gridCol w:w="5670"/>
              <w:gridCol w:w="1843"/>
            </w:tblGrid>
            <w:tr w:rsidR="000E179B" w:rsidRPr="00891869" w:rsidTr="007340BE">
              <w:trPr>
                <w:tblHeader/>
              </w:trPr>
              <w:tc>
                <w:tcPr>
                  <w:tcW w:w="3856" w:type="dxa"/>
                  <w:shd w:val="clear" w:color="auto" w:fill="D0CECE" w:themeFill="background2" w:themeFillShade="E6"/>
                  <w:vAlign w:val="center"/>
                </w:tcPr>
                <w:p w:rsidR="000E179B" w:rsidRPr="00891869" w:rsidRDefault="000E179B" w:rsidP="00891869">
                  <w:pPr>
                    <w:spacing w:after="12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91869">
                    <w:rPr>
                      <w:rFonts w:cstheme="minorHAnsi"/>
                      <w:b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5670" w:type="dxa"/>
                  <w:shd w:val="clear" w:color="auto" w:fill="D0CECE" w:themeFill="background2" w:themeFillShade="E6"/>
                </w:tcPr>
                <w:p w:rsidR="000E179B" w:rsidRDefault="000E179B" w:rsidP="00891869">
                  <w:pPr>
                    <w:spacing w:after="12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Sposób zarządzania ryzykiem</w:t>
                  </w:r>
                </w:p>
              </w:tc>
              <w:tc>
                <w:tcPr>
                  <w:tcW w:w="1843" w:type="dxa"/>
                  <w:shd w:val="clear" w:color="auto" w:fill="D0CECE" w:themeFill="background2" w:themeFillShade="E6"/>
                  <w:vAlign w:val="center"/>
                </w:tcPr>
                <w:p w:rsidR="000E179B" w:rsidRPr="00891869" w:rsidRDefault="000E179B" w:rsidP="00891869">
                  <w:pPr>
                    <w:spacing w:after="12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 xml:space="preserve">Status </w:t>
                  </w:r>
                </w:p>
              </w:tc>
            </w:tr>
            <w:tr w:rsidR="000E179B" w:rsidRPr="00891869" w:rsidTr="007340BE">
              <w:tc>
                <w:tcPr>
                  <w:tcW w:w="3856" w:type="dxa"/>
                  <w:vAlign w:val="center"/>
                </w:tcPr>
                <w:p w:rsidR="000E179B" w:rsidRPr="00891869" w:rsidRDefault="000E179B" w:rsidP="0089186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891869">
                    <w:rPr>
                      <w:rFonts w:cstheme="minorHAnsi"/>
                      <w:sz w:val="18"/>
                      <w:szCs w:val="18"/>
                    </w:rPr>
                    <w:t>Rotacja członków zespołu projektowego / Wystąpienie rotacji członków zespołu projektowego może doprowadzić do zachwiania efektywnego gromadzenia i zarządzania wiedzą w ramach prac projektowych.</w:t>
                  </w:r>
                </w:p>
              </w:tc>
              <w:tc>
                <w:tcPr>
                  <w:tcW w:w="5670" w:type="dxa"/>
                </w:tcPr>
                <w:p w:rsidR="007340BE" w:rsidRPr="007340BE" w:rsidRDefault="007340BE" w:rsidP="007340B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340BE">
                    <w:rPr>
                      <w:rFonts w:cstheme="minorHAnsi"/>
                      <w:sz w:val="18"/>
                      <w:szCs w:val="18"/>
                    </w:rPr>
                    <w:t>Prowadzenie repozytorium projektowego, w którym umieszczane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będą wszelkie informacje o stanie poszczególnych zadań oraz dokumenty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związane z nimi. Wykorzystywanie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systemu motywowania w celu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utrzymania stałego zespołu. Stały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nadzór Kierownika Projektu nad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realizacją i nastrojami zespołu. Aktywne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zarządzanie dostępnymi zasobami</w:t>
                  </w:r>
                </w:p>
                <w:p w:rsidR="000E179B" w:rsidRPr="00DC3104" w:rsidRDefault="007340BE" w:rsidP="007340B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340BE">
                    <w:rPr>
                      <w:rFonts w:cstheme="minorHAnsi"/>
                      <w:sz w:val="18"/>
                      <w:szCs w:val="18"/>
                    </w:rPr>
                    <w:t>osobowymi w celu zapewnienia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dostępności personelu do realizacji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projektu. Uruchomienie ponownej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 xml:space="preserve">rekrutacji personelu projektu (w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s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ytuacji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rotacji członków kadry projektu).</w:t>
                  </w:r>
                </w:p>
              </w:tc>
              <w:tc>
                <w:tcPr>
                  <w:tcW w:w="1843" w:type="dxa"/>
                  <w:vAlign w:val="center"/>
                </w:tcPr>
                <w:p w:rsidR="000E179B" w:rsidRPr="00DC3104" w:rsidRDefault="000E179B" w:rsidP="00DC310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C3104">
                    <w:rPr>
                      <w:rFonts w:cstheme="minorHAnsi"/>
                      <w:sz w:val="18"/>
                      <w:szCs w:val="18"/>
                    </w:rPr>
                    <w:t xml:space="preserve">Ryzyko zamknięte </w:t>
                  </w:r>
                </w:p>
              </w:tc>
            </w:tr>
            <w:tr w:rsidR="000E179B" w:rsidRPr="00891869" w:rsidTr="007340BE">
              <w:tc>
                <w:tcPr>
                  <w:tcW w:w="3856" w:type="dxa"/>
                  <w:vAlign w:val="center"/>
                </w:tcPr>
                <w:p w:rsidR="000E179B" w:rsidRPr="00DC3104" w:rsidRDefault="000E179B" w:rsidP="0089186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C3104">
                    <w:rPr>
                      <w:rFonts w:cstheme="minorHAnsi"/>
                      <w:sz w:val="18"/>
                      <w:szCs w:val="18"/>
                    </w:rPr>
                    <w:t>Przedłużające się procedury zamówień publicznych i przetargowych</w:t>
                  </w:r>
                </w:p>
              </w:tc>
              <w:tc>
                <w:tcPr>
                  <w:tcW w:w="5670" w:type="dxa"/>
                </w:tcPr>
                <w:p w:rsidR="000E179B" w:rsidRPr="00DC3104" w:rsidRDefault="007340BE" w:rsidP="00DC310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340BE">
                    <w:rPr>
                      <w:rFonts w:cstheme="minorHAnsi"/>
                      <w:sz w:val="18"/>
                      <w:szCs w:val="18"/>
                    </w:rPr>
                    <w:t>Nadanie wysokiego priorytetu dla tematu w komórce zamówień publicznych oraz możliwie jasny i precyzyjny opis zamówienia, by zmniejszyć liczbę potencjalnych zapytań w procedurze przetargowej.</w:t>
                  </w:r>
                </w:p>
              </w:tc>
              <w:tc>
                <w:tcPr>
                  <w:tcW w:w="1843" w:type="dxa"/>
                  <w:vAlign w:val="center"/>
                </w:tcPr>
                <w:p w:rsidR="000E179B" w:rsidRPr="00DC3104" w:rsidRDefault="000E179B" w:rsidP="00DC310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C3104">
                    <w:rPr>
                      <w:rFonts w:cstheme="minorHAnsi"/>
                      <w:sz w:val="18"/>
                      <w:szCs w:val="18"/>
                    </w:rPr>
                    <w:t xml:space="preserve">Ryzyko zamknięte </w:t>
                  </w:r>
                </w:p>
              </w:tc>
            </w:tr>
            <w:tr w:rsidR="000E179B" w:rsidRPr="00891869" w:rsidTr="007340BE">
              <w:tc>
                <w:tcPr>
                  <w:tcW w:w="3856" w:type="dxa"/>
                  <w:vAlign w:val="center"/>
                </w:tcPr>
                <w:p w:rsidR="000E179B" w:rsidRPr="00DC3104" w:rsidRDefault="000E179B" w:rsidP="00DC310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C3104">
                    <w:rPr>
                      <w:rFonts w:cstheme="minorHAnsi"/>
                      <w:sz w:val="18"/>
                      <w:szCs w:val="18"/>
                    </w:rPr>
                    <w:t>Przekroczenie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DC3104">
                    <w:rPr>
                      <w:rFonts w:cstheme="minorHAnsi"/>
                      <w:sz w:val="18"/>
                      <w:szCs w:val="18"/>
                    </w:rPr>
                    <w:t>zakładanego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DC3104">
                    <w:rPr>
                      <w:rFonts w:cstheme="minorHAnsi"/>
                      <w:sz w:val="18"/>
                      <w:szCs w:val="18"/>
                    </w:rPr>
                    <w:t>poziomu nakładów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DC3104">
                    <w:rPr>
                      <w:rFonts w:cstheme="minorHAnsi"/>
                      <w:sz w:val="18"/>
                      <w:szCs w:val="18"/>
                    </w:rPr>
                    <w:t>inwestycyjnych</w:t>
                  </w:r>
                </w:p>
              </w:tc>
              <w:tc>
                <w:tcPr>
                  <w:tcW w:w="5670" w:type="dxa"/>
                </w:tcPr>
                <w:p w:rsidR="000E179B" w:rsidRPr="00DC3104" w:rsidRDefault="007340BE" w:rsidP="007340B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340BE">
                    <w:rPr>
                      <w:rFonts w:cstheme="minorHAnsi"/>
                      <w:sz w:val="18"/>
                      <w:szCs w:val="18"/>
                    </w:rPr>
                    <w:t>Bieżąca kontrola i monitorowanie planu finansowego. Systematyczna kontrola wykonawstwa pod względem zakresu rzeczowego oraz ewentualnych odstępstw od zakresu finansowego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. </w:t>
                  </w:r>
                  <w:r w:rsidRPr="007340BE">
                    <w:rPr>
                      <w:rFonts w:cstheme="minorHAnsi"/>
                      <w:sz w:val="18"/>
                      <w:szCs w:val="18"/>
                    </w:rPr>
                    <w:t>Bieżące decyzje zarządu kierownictwa ukierunkowane na ewentualne kompensowanie zwiększonych kosztów w jednych obszarach projektu poprzez oszczędności w innych</w:t>
                  </w:r>
                </w:p>
              </w:tc>
              <w:tc>
                <w:tcPr>
                  <w:tcW w:w="1843" w:type="dxa"/>
                  <w:vAlign w:val="center"/>
                </w:tcPr>
                <w:p w:rsidR="000E179B" w:rsidRPr="00DC3104" w:rsidRDefault="000E179B" w:rsidP="00DC310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C3104">
                    <w:rPr>
                      <w:rFonts w:cstheme="minorHAnsi"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0E179B" w:rsidRPr="00891869" w:rsidTr="007340BE">
              <w:tc>
                <w:tcPr>
                  <w:tcW w:w="3856" w:type="dxa"/>
                  <w:vAlign w:val="center"/>
                </w:tcPr>
                <w:p w:rsidR="000E179B" w:rsidRPr="00DC3104" w:rsidRDefault="000E179B" w:rsidP="0089186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C3104">
                    <w:rPr>
                      <w:rFonts w:cstheme="minorHAnsi"/>
                      <w:sz w:val="18"/>
                      <w:szCs w:val="18"/>
                    </w:rPr>
                    <w:t>Błędny wybór technologii</w:t>
                  </w:r>
                </w:p>
              </w:tc>
              <w:tc>
                <w:tcPr>
                  <w:tcW w:w="5670" w:type="dxa"/>
                </w:tcPr>
                <w:p w:rsidR="000E179B" w:rsidRPr="00DC3104" w:rsidRDefault="007340BE" w:rsidP="00DC310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7340BE">
                    <w:rPr>
                      <w:rFonts w:cstheme="minorHAnsi"/>
                      <w:sz w:val="18"/>
                      <w:szCs w:val="18"/>
                    </w:rPr>
                    <w:t>Odpowiedni dobór rozwiązań technologicznych, jednocześnie uniknięcie rozwiązań niszowych i nieefektywnych, których dalsze wsparcie i użytkowanie wiązałoby się ze zwiększonymi kosztami oraz trudnościami technicznymi.</w:t>
                  </w:r>
                </w:p>
              </w:tc>
              <w:tc>
                <w:tcPr>
                  <w:tcW w:w="1843" w:type="dxa"/>
                  <w:vAlign w:val="center"/>
                </w:tcPr>
                <w:p w:rsidR="000E179B" w:rsidRPr="00DC3104" w:rsidRDefault="000E179B" w:rsidP="00DC3104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DC3104">
                    <w:rPr>
                      <w:rFonts w:cstheme="minorHAnsi"/>
                      <w:sz w:val="18"/>
                      <w:szCs w:val="18"/>
                    </w:rPr>
                    <w:t>Ryzyko zamknięte</w:t>
                  </w:r>
                </w:p>
              </w:tc>
            </w:tr>
          </w:tbl>
          <w:p w:rsidR="00435167" w:rsidRPr="00C81547" w:rsidRDefault="00435167" w:rsidP="00BC120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813FEF" w:rsidRPr="00C81547" w:rsidTr="00180E1F">
        <w:tc>
          <w:tcPr>
            <w:tcW w:w="562" w:type="dxa"/>
          </w:tcPr>
          <w:p w:rsidR="00813FEF" w:rsidRPr="00C81547" w:rsidRDefault="00813FEF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813FEF" w:rsidRPr="00C81547" w:rsidRDefault="009D3D41" w:rsidP="009D3D41">
            <w:pPr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>U</w:t>
            </w:r>
            <w:r w:rsidR="00813FEF" w:rsidRPr="00C81547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11631" w:type="dxa"/>
          </w:tcPr>
          <w:p w:rsidR="001E2A8C" w:rsidRDefault="00A70ABA" w:rsidP="001E2A8C">
            <w:pPr>
              <w:rPr>
                <w:rFonts w:cstheme="minorHAnsi"/>
                <w:bCs/>
                <w:i/>
                <w:sz w:val="18"/>
                <w:szCs w:val="18"/>
              </w:rPr>
            </w:pPr>
            <w:r>
              <w:rPr>
                <w:rFonts w:cstheme="minorHAnsi"/>
                <w:bCs/>
                <w:i/>
                <w:sz w:val="18"/>
                <w:szCs w:val="18"/>
              </w:rPr>
              <w:t>Korzyści uzyskane w wyniku realizacji projektu</w:t>
            </w:r>
          </w:p>
          <w:p w:rsidR="00A70ABA" w:rsidRDefault="00A70ABA" w:rsidP="001E2A8C">
            <w:pPr>
              <w:rPr>
                <w:rFonts w:cstheme="minorHAnsi"/>
                <w:bCs/>
                <w:i/>
                <w:sz w:val="18"/>
                <w:szCs w:val="18"/>
              </w:rPr>
            </w:pPr>
          </w:p>
          <w:tbl>
            <w:tblPr>
              <w:tblW w:w="10772" w:type="dxa"/>
              <w:tblInd w:w="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59"/>
              <w:gridCol w:w="9213"/>
            </w:tblGrid>
            <w:tr w:rsidR="00A70ABA" w:rsidRPr="00A70ABA" w:rsidTr="009567EF">
              <w:trPr>
                <w:trHeight w:val="383"/>
              </w:trPr>
              <w:tc>
                <w:tcPr>
                  <w:tcW w:w="1559" w:type="dxa"/>
                  <w:shd w:val="clear" w:color="auto" w:fill="E7E6E6"/>
                </w:tcPr>
                <w:p w:rsidR="00A70ABA" w:rsidRPr="00A70ABA" w:rsidRDefault="00A70ABA" w:rsidP="00A70ABA">
                  <w:pPr>
                    <w:rPr>
                      <w:rFonts w:eastAsia="MS MinNew Roman" w:cs="Arial"/>
                      <w:b/>
                      <w:bCs/>
                      <w:sz w:val="18"/>
                      <w:szCs w:val="18"/>
                    </w:rPr>
                  </w:pPr>
                  <w:r w:rsidRPr="00A70ABA">
                    <w:rPr>
                      <w:rFonts w:eastAsia="MS MinNew Roman" w:cs="Arial"/>
                      <w:b/>
                      <w:bCs/>
                      <w:sz w:val="18"/>
                      <w:szCs w:val="18"/>
                    </w:rPr>
                    <w:lastRenderedPageBreak/>
                    <w:t>Korzyść:</w:t>
                  </w:r>
                </w:p>
              </w:tc>
              <w:tc>
                <w:tcPr>
                  <w:tcW w:w="9213" w:type="dxa"/>
                  <w:shd w:val="clear" w:color="auto" w:fill="FFFFFF" w:themeFill="background1"/>
                </w:tcPr>
                <w:p w:rsidR="00A70ABA" w:rsidRPr="00A70ABA" w:rsidRDefault="00A70ABA" w:rsidP="00A70ABA">
                  <w:pPr>
                    <w:pStyle w:val="Akapitzlist"/>
                    <w:numPr>
                      <w:ilvl w:val="0"/>
                      <w:numId w:val="19"/>
                    </w:numPr>
                    <w:spacing w:after="0" w:line="240" w:lineRule="auto"/>
                    <w:contextualSpacing w:val="0"/>
                    <w:jc w:val="both"/>
                    <w:rPr>
                      <w:rFonts w:eastAsia="Arial" w:cs="Arial"/>
                      <w:sz w:val="18"/>
                      <w:szCs w:val="18"/>
                    </w:rPr>
                  </w:pPr>
                  <w:r w:rsidRPr="00A70ABA">
                    <w:rPr>
                      <w:rFonts w:eastAsia="Arial" w:cs="Arial"/>
                      <w:sz w:val="18"/>
                      <w:szCs w:val="18"/>
                    </w:rPr>
                    <w:t>Usprawnienie sposobu realizacji usług oferowanych na platformie</w:t>
                  </w:r>
                </w:p>
                <w:p w:rsidR="00A70ABA" w:rsidRPr="00A70ABA" w:rsidRDefault="00A70ABA" w:rsidP="00A70ABA">
                  <w:pPr>
                    <w:pStyle w:val="Akapitzlist"/>
                    <w:numPr>
                      <w:ilvl w:val="0"/>
                      <w:numId w:val="19"/>
                    </w:numPr>
                    <w:spacing w:after="0" w:line="240" w:lineRule="auto"/>
                    <w:contextualSpacing w:val="0"/>
                    <w:jc w:val="both"/>
                    <w:rPr>
                      <w:rFonts w:eastAsiaTheme="minorEastAsia"/>
                      <w:sz w:val="18"/>
                      <w:szCs w:val="18"/>
                    </w:rPr>
                  </w:pPr>
                  <w:r w:rsidRPr="00A70ABA">
                    <w:rPr>
                      <w:rFonts w:eastAsia="Arial" w:cs="Arial"/>
                      <w:sz w:val="18"/>
                      <w:szCs w:val="18"/>
                    </w:rPr>
                    <w:t>Wzrost bezpieczeństwa i niezaprzeczalności realizowanych procesów.</w:t>
                  </w:r>
                </w:p>
                <w:p w:rsidR="00A70ABA" w:rsidRPr="00A70ABA" w:rsidRDefault="00A70ABA" w:rsidP="00A70ABA">
                  <w:pPr>
                    <w:pStyle w:val="Akapitzlist"/>
                    <w:numPr>
                      <w:ilvl w:val="0"/>
                      <w:numId w:val="19"/>
                    </w:numPr>
                    <w:spacing w:after="0" w:line="240" w:lineRule="auto"/>
                    <w:contextualSpacing w:val="0"/>
                    <w:jc w:val="both"/>
                    <w:rPr>
                      <w:rFonts w:eastAsiaTheme="minorEastAsia"/>
                      <w:sz w:val="18"/>
                      <w:szCs w:val="18"/>
                    </w:rPr>
                  </w:pPr>
                  <w:r w:rsidRPr="00A70ABA">
                    <w:rPr>
                      <w:rFonts w:eastAsia="Arial" w:cs="Arial"/>
                      <w:sz w:val="18"/>
                      <w:szCs w:val="18"/>
                    </w:rPr>
                    <w:t>Uproszczenie i optymalizacja procesów.</w:t>
                  </w:r>
                </w:p>
                <w:p w:rsidR="00A70ABA" w:rsidRPr="00A70ABA" w:rsidRDefault="00A70ABA" w:rsidP="00A70ABA">
                  <w:pPr>
                    <w:pStyle w:val="Akapitzlist"/>
                    <w:numPr>
                      <w:ilvl w:val="0"/>
                      <w:numId w:val="19"/>
                    </w:numPr>
                    <w:spacing w:after="0" w:line="240" w:lineRule="auto"/>
                    <w:contextualSpacing w:val="0"/>
                    <w:jc w:val="both"/>
                    <w:rPr>
                      <w:rFonts w:eastAsiaTheme="minorEastAsia"/>
                      <w:sz w:val="18"/>
                      <w:szCs w:val="18"/>
                    </w:rPr>
                  </w:pPr>
                  <w:r w:rsidRPr="00A70ABA">
                    <w:rPr>
                      <w:rFonts w:eastAsia="Arial" w:cs="Arial"/>
                      <w:sz w:val="18"/>
                      <w:szCs w:val="18"/>
                    </w:rPr>
                    <w:t>Wzrost liczby bezbłędnie zrealizowanych spraw.</w:t>
                  </w:r>
                </w:p>
                <w:p w:rsidR="00A70ABA" w:rsidRPr="00A70ABA" w:rsidRDefault="00A70ABA" w:rsidP="00A70ABA">
                  <w:pPr>
                    <w:pStyle w:val="Akapitzlist"/>
                    <w:numPr>
                      <w:ilvl w:val="0"/>
                      <w:numId w:val="19"/>
                    </w:numPr>
                    <w:spacing w:after="0" w:line="240" w:lineRule="auto"/>
                    <w:contextualSpacing w:val="0"/>
                    <w:jc w:val="both"/>
                    <w:rPr>
                      <w:rFonts w:eastAsiaTheme="minorEastAsia"/>
                      <w:sz w:val="18"/>
                      <w:szCs w:val="18"/>
                    </w:rPr>
                  </w:pPr>
                  <w:r w:rsidRPr="00A70ABA">
                    <w:rPr>
                      <w:rFonts w:eastAsia="Arial" w:cs="Arial"/>
                      <w:sz w:val="18"/>
                      <w:szCs w:val="18"/>
                    </w:rPr>
                    <w:t>Zwiększenie zakresu danych, do których mają dostęp pracownicy.</w:t>
                  </w:r>
                </w:p>
                <w:p w:rsidR="00A70ABA" w:rsidRPr="00A70ABA" w:rsidRDefault="00A70ABA" w:rsidP="00A70ABA">
                  <w:pPr>
                    <w:pStyle w:val="Akapitzlist"/>
                    <w:numPr>
                      <w:ilvl w:val="0"/>
                      <w:numId w:val="19"/>
                    </w:numPr>
                    <w:spacing w:after="0" w:line="240" w:lineRule="auto"/>
                    <w:contextualSpacing w:val="0"/>
                    <w:jc w:val="both"/>
                    <w:rPr>
                      <w:rFonts w:eastAsiaTheme="minorEastAsia"/>
                      <w:sz w:val="18"/>
                      <w:szCs w:val="18"/>
                    </w:rPr>
                  </w:pPr>
                  <w:r w:rsidRPr="00A70ABA">
                    <w:rPr>
                      <w:rFonts w:eastAsia="Arial" w:cs="Arial"/>
                      <w:sz w:val="18"/>
                      <w:szCs w:val="18"/>
                    </w:rPr>
                    <w:t xml:space="preserve">Zwiększenie wolumenu zdigitalizowanych danych. </w:t>
                  </w:r>
                </w:p>
                <w:p w:rsidR="00A70ABA" w:rsidRPr="00A70ABA" w:rsidRDefault="00A70ABA" w:rsidP="00A70ABA">
                  <w:pPr>
                    <w:pStyle w:val="Akapitzlist"/>
                    <w:numPr>
                      <w:ilvl w:val="0"/>
                      <w:numId w:val="19"/>
                    </w:numPr>
                    <w:spacing w:after="0" w:line="240" w:lineRule="auto"/>
                    <w:contextualSpacing w:val="0"/>
                    <w:jc w:val="both"/>
                    <w:rPr>
                      <w:rFonts w:eastAsiaTheme="minorEastAsia"/>
                      <w:sz w:val="18"/>
                      <w:szCs w:val="18"/>
                    </w:rPr>
                  </w:pPr>
                  <w:r w:rsidRPr="00A70ABA">
                    <w:rPr>
                      <w:rFonts w:eastAsia="Arial" w:cs="Arial"/>
                      <w:sz w:val="18"/>
                      <w:szCs w:val="18"/>
                    </w:rPr>
                    <w:t>Stworzenie spójnego systemu identyfikacji i uwierzytelniania użytkownika oraz komunikacji.</w:t>
                  </w:r>
                </w:p>
                <w:p w:rsidR="00A70ABA" w:rsidRPr="00A70ABA" w:rsidRDefault="00A70ABA" w:rsidP="00A70ABA">
                  <w:pPr>
                    <w:pStyle w:val="Akapitzlist"/>
                    <w:numPr>
                      <w:ilvl w:val="0"/>
                      <w:numId w:val="19"/>
                    </w:numPr>
                    <w:spacing w:after="0" w:line="240" w:lineRule="auto"/>
                    <w:contextualSpacing w:val="0"/>
                    <w:jc w:val="both"/>
                    <w:rPr>
                      <w:rFonts w:eastAsiaTheme="minorEastAsia"/>
                      <w:sz w:val="18"/>
                      <w:szCs w:val="18"/>
                    </w:rPr>
                  </w:pPr>
                  <w:r w:rsidRPr="00A70ABA">
                    <w:rPr>
                      <w:rFonts w:eastAsia="Arial" w:cs="Arial"/>
                      <w:sz w:val="18"/>
                      <w:szCs w:val="18"/>
                    </w:rPr>
                    <w:t>Zoptymalizowanie czasu pracy pracowników.</w:t>
                  </w:r>
                </w:p>
              </w:tc>
            </w:tr>
          </w:tbl>
          <w:p w:rsidR="00A70ABA" w:rsidRDefault="00A70ABA" w:rsidP="001E2A8C">
            <w:pPr>
              <w:rPr>
                <w:rFonts w:cstheme="minorHAnsi"/>
                <w:bCs/>
                <w:i/>
                <w:sz w:val="18"/>
                <w:szCs w:val="18"/>
              </w:rPr>
            </w:pPr>
          </w:p>
          <w:p w:rsidR="00A70ABA" w:rsidRPr="00C81547" w:rsidRDefault="00A70ABA" w:rsidP="001E2A8C">
            <w:pPr>
              <w:rPr>
                <w:rFonts w:cstheme="minorHAnsi"/>
                <w:bCs/>
                <w:i/>
                <w:sz w:val="18"/>
                <w:szCs w:val="18"/>
              </w:rPr>
            </w:pPr>
          </w:p>
        </w:tc>
      </w:tr>
      <w:tr w:rsidR="00F82254" w:rsidRPr="00C81547" w:rsidTr="00180E1F">
        <w:tc>
          <w:tcPr>
            <w:tcW w:w="562" w:type="dxa"/>
          </w:tcPr>
          <w:p w:rsidR="00F82254" w:rsidRPr="00C81547" w:rsidRDefault="00F82254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F82254" w:rsidRPr="00C81547" w:rsidRDefault="00F82254" w:rsidP="00F82254">
            <w:pPr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11631" w:type="dxa"/>
          </w:tcPr>
          <w:p w:rsidR="00E530D1" w:rsidRPr="00C81547" w:rsidRDefault="00E530D1" w:rsidP="00DB70A5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C81547">
              <w:rPr>
                <w:rFonts w:cstheme="minorHAnsi"/>
                <w:i/>
                <w:sz w:val="18"/>
                <w:szCs w:val="18"/>
              </w:rPr>
              <w:t>Projekt nie dotyczył budowy e-usług dla obywateli, lecz polegał na modyfikacji procesów back-office usprawniających pracę UKE poprzez wykorzystanie narzędzia jakim jest Platforma Usług Elektronicznych Urzędu.</w:t>
            </w:r>
            <w:r w:rsidR="00EB3477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C81547">
              <w:rPr>
                <w:rFonts w:cstheme="minorHAnsi"/>
                <w:i/>
                <w:sz w:val="18"/>
                <w:szCs w:val="18"/>
              </w:rPr>
              <w:t>W ramach projektu został zmodyfikowany SSO (punkt pojedynczego logowania), który jest zintegrowany m.in. z Węzłem Krajowym</w:t>
            </w:r>
            <w:r w:rsidR="00694477" w:rsidRPr="00C81547">
              <w:rPr>
                <w:rFonts w:cstheme="minorHAnsi"/>
                <w:i/>
                <w:sz w:val="18"/>
                <w:szCs w:val="18"/>
              </w:rPr>
              <w:t>. Ponadto samo PUE jest zintegrowane z systemami API TERYT, REGON UKE, BI UKE, SSO oraz ESOD.</w:t>
            </w:r>
          </w:p>
          <w:p w:rsidR="0076397F" w:rsidRPr="00C81547" w:rsidRDefault="0076397F" w:rsidP="00DB70A5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:rsidR="0076397F" w:rsidRPr="00C81547" w:rsidRDefault="0076397F" w:rsidP="0076397F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  <w:r w:rsidRPr="00C81547">
              <w:rPr>
                <w:rFonts w:asciiTheme="minorHAnsi" w:hAnsiTheme="minorHAnsi" w:cstheme="minorHAnsi"/>
                <w:b/>
              </w:rPr>
              <w:t>System Platforma Usług Elektronicznych będzie się integrował z następującymi systemami teleinformatycznymi:</w:t>
            </w:r>
          </w:p>
          <w:p w:rsidR="0076397F" w:rsidRPr="00C93082" w:rsidRDefault="0076397F" w:rsidP="0076397F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Nazwa systemu: Elektroniczny System Obiegu Dokumentów</w:t>
            </w: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Status powiązania: uzupełnianie się</w:t>
            </w: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Status implementacji: wdrożony</w:t>
            </w:r>
          </w:p>
          <w:p w:rsidR="00993D33" w:rsidRPr="009567EF" w:rsidRDefault="00993D33" w:rsidP="00993D33">
            <w:pPr>
              <w:rPr>
                <w:rFonts w:cstheme="minorHAnsi"/>
                <w:sz w:val="18"/>
                <w:szCs w:val="18"/>
              </w:rPr>
            </w:pP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Nazwa systemu: API TERYT UKE</w:t>
            </w: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Status powiązania: korzystanie</w:t>
            </w: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Status implementacji: wdrożony</w:t>
            </w:r>
          </w:p>
          <w:p w:rsidR="00993D33" w:rsidRPr="009567EF" w:rsidRDefault="00993D33" w:rsidP="00993D33">
            <w:pPr>
              <w:rPr>
                <w:rFonts w:cstheme="minorHAnsi"/>
                <w:sz w:val="18"/>
                <w:szCs w:val="18"/>
              </w:rPr>
            </w:pP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Nazwa systemu: REGON UKE</w:t>
            </w: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Status powiazania: korzystanie</w:t>
            </w: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Status implementacji: wdrożony</w:t>
            </w:r>
          </w:p>
          <w:p w:rsidR="00993D33" w:rsidRPr="009567EF" w:rsidRDefault="00993D33" w:rsidP="00993D33">
            <w:pPr>
              <w:rPr>
                <w:rFonts w:cstheme="minorHAnsi"/>
                <w:sz w:val="18"/>
                <w:szCs w:val="18"/>
              </w:rPr>
            </w:pP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4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Nazwa systemu: BI UKE</w:t>
            </w: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4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Status powiązania: korzystanie</w:t>
            </w: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4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Status implementacji: wdrożony</w:t>
            </w:r>
          </w:p>
          <w:p w:rsidR="00993D33" w:rsidRPr="009567EF" w:rsidRDefault="00993D33" w:rsidP="00993D33">
            <w:pPr>
              <w:rPr>
                <w:rFonts w:cstheme="minorHAnsi"/>
                <w:sz w:val="18"/>
                <w:szCs w:val="18"/>
              </w:rPr>
            </w:pPr>
          </w:p>
          <w:p w:rsidR="00993D33" w:rsidRPr="009567EF" w:rsidRDefault="00993D33" w:rsidP="00993D33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8"/>
                <w:szCs w:val="18"/>
                <w:lang w:val="en-US"/>
              </w:rPr>
            </w:pPr>
            <w:r w:rsidRPr="009567EF">
              <w:rPr>
                <w:rFonts w:cstheme="minorHAnsi"/>
                <w:sz w:val="18"/>
                <w:szCs w:val="18"/>
                <w:lang w:val="en-US"/>
              </w:rPr>
              <w:t>Nazwa systemu: SSO (Single sign-on)</w:t>
            </w:r>
          </w:p>
          <w:p w:rsidR="00C93082" w:rsidRPr="009567EF" w:rsidRDefault="00993D33" w:rsidP="00993D33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Sta</w:t>
            </w:r>
            <w:r w:rsidR="007B2FB5">
              <w:rPr>
                <w:rFonts w:cstheme="minorHAnsi"/>
                <w:sz w:val="18"/>
                <w:szCs w:val="18"/>
              </w:rPr>
              <w:t>tus powiązania: korzystanie</w:t>
            </w:r>
          </w:p>
          <w:p w:rsidR="00993D33" w:rsidRDefault="00993D33" w:rsidP="00C93082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8"/>
                <w:szCs w:val="18"/>
              </w:rPr>
            </w:pPr>
            <w:r w:rsidRPr="00C93082">
              <w:rPr>
                <w:rFonts w:cstheme="minorHAnsi"/>
                <w:sz w:val="18"/>
                <w:szCs w:val="18"/>
              </w:rPr>
              <w:t>Status implementacji: wdrożony</w:t>
            </w:r>
          </w:p>
          <w:p w:rsidR="007B2FB5" w:rsidRDefault="007B2FB5" w:rsidP="007B2FB5">
            <w:pPr>
              <w:pStyle w:val="Akapitzlist"/>
              <w:rPr>
                <w:rFonts w:cstheme="minorHAnsi"/>
                <w:sz w:val="18"/>
                <w:szCs w:val="18"/>
              </w:rPr>
            </w:pPr>
          </w:p>
          <w:p w:rsidR="007B2FB5" w:rsidRPr="009567EF" w:rsidRDefault="007B2FB5" w:rsidP="007B2FB5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8"/>
                <w:szCs w:val="18"/>
                <w:lang w:val="en-US"/>
              </w:rPr>
            </w:pPr>
            <w:r w:rsidRPr="009567EF">
              <w:rPr>
                <w:rFonts w:cstheme="minorHAnsi"/>
                <w:sz w:val="18"/>
                <w:szCs w:val="18"/>
                <w:lang w:val="en-US"/>
              </w:rPr>
              <w:t>Nazwa s</w:t>
            </w:r>
            <w:r>
              <w:rPr>
                <w:rFonts w:cstheme="minorHAnsi"/>
                <w:sz w:val="18"/>
                <w:szCs w:val="18"/>
                <w:lang w:val="en-US"/>
              </w:rPr>
              <w:t>ystemu: Węzeł Krajowy</w:t>
            </w:r>
            <w:bookmarkStart w:id="0" w:name="_GoBack"/>
            <w:bookmarkEnd w:id="0"/>
            <w:r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</w:p>
          <w:p w:rsidR="007B2FB5" w:rsidRPr="009567EF" w:rsidRDefault="007B2FB5" w:rsidP="007B2FB5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sz w:val="18"/>
                <w:szCs w:val="18"/>
              </w:rPr>
            </w:pPr>
            <w:r w:rsidRPr="009567EF">
              <w:rPr>
                <w:rFonts w:cstheme="minorHAnsi"/>
                <w:sz w:val="18"/>
                <w:szCs w:val="18"/>
              </w:rPr>
              <w:t>Sta</w:t>
            </w:r>
            <w:r>
              <w:rPr>
                <w:rFonts w:cstheme="minorHAnsi"/>
                <w:sz w:val="18"/>
                <w:szCs w:val="18"/>
              </w:rPr>
              <w:t>tus powiązania: wspieranie</w:t>
            </w:r>
          </w:p>
          <w:p w:rsidR="007B2FB5" w:rsidRPr="00C93082" w:rsidRDefault="007B2FB5" w:rsidP="007B2FB5">
            <w:pPr>
              <w:pStyle w:val="Akapitzlist"/>
              <w:rPr>
                <w:rFonts w:cstheme="minorHAnsi"/>
                <w:sz w:val="18"/>
                <w:szCs w:val="18"/>
              </w:rPr>
            </w:pPr>
            <w:r w:rsidRPr="00C93082">
              <w:rPr>
                <w:rFonts w:cstheme="minorHAnsi"/>
                <w:sz w:val="18"/>
                <w:szCs w:val="18"/>
              </w:rPr>
              <w:t>Status implementacji: wdrożony</w:t>
            </w:r>
          </w:p>
          <w:p w:rsidR="0076397F" w:rsidRPr="00C81547" w:rsidRDefault="0076397F" w:rsidP="00C93082">
            <w:pPr>
              <w:pStyle w:val="Other0"/>
              <w:jc w:val="both"/>
              <w:rPr>
                <w:rFonts w:cstheme="minorHAnsi"/>
                <w:bCs/>
                <w:i/>
              </w:rPr>
            </w:pPr>
          </w:p>
        </w:tc>
      </w:tr>
      <w:tr w:rsidR="007C54F9" w:rsidRPr="00C81547" w:rsidTr="00180E1F">
        <w:tc>
          <w:tcPr>
            <w:tcW w:w="562" w:type="dxa"/>
          </w:tcPr>
          <w:p w:rsidR="007C54F9" w:rsidRPr="00C81547" w:rsidRDefault="007C54F9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7C54F9" w:rsidRPr="00C81547" w:rsidRDefault="003B7BD6" w:rsidP="007C54F9">
            <w:pPr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11631" w:type="dxa"/>
          </w:tcPr>
          <w:p w:rsidR="007C54F9" w:rsidRPr="00C81547" w:rsidRDefault="00A644D8" w:rsidP="007C54F9">
            <w:p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C81547">
              <w:rPr>
                <w:rFonts w:cstheme="minorHAnsi"/>
                <w:bCs/>
                <w:i/>
                <w:sz w:val="18"/>
                <w:szCs w:val="18"/>
              </w:rPr>
              <w:t xml:space="preserve">Beneficjent wystąpił o środki z rezerwy celowej na zapewnienie utrzymania projektu, które zostały mu przyznane na rok 2024 w wysokości 895 440 zł. </w:t>
            </w:r>
          </w:p>
          <w:p w:rsidR="00A644D8" w:rsidRPr="00C81547" w:rsidRDefault="00E530D1" w:rsidP="007C54F9">
            <w:p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C81547">
              <w:rPr>
                <w:rFonts w:cstheme="minorHAnsi"/>
                <w:bCs/>
                <w:i/>
                <w:sz w:val="18"/>
                <w:szCs w:val="18"/>
              </w:rPr>
              <w:t>Beneficjent na rok 2025 ujął środki na utrzymanie projektu w planie budżetowym.</w:t>
            </w:r>
          </w:p>
        </w:tc>
      </w:tr>
      <w:tr w:rsidR="009D3D41" w:rsidRPr="00C81547" w:rsidTr="00180E1F">
        <w:tc>
          <w:tcPr>
            <w:tcW w:w="562" w:type="dxa"/>
          </w:tcPr>
          <w:p w:rsidR="009D3D41" w:rsidRPr="00C81547" w:rsidRDefault="009D3D41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9D3D41" w:rsidRPr="00C81547" w:rsidRDefault="009D3D41" w:rsidP="007E6098">
            <w:pPr>
              <w:rPr>
                <w:rFonts w:cstheme="minorHAnsi"/>
                <w:sz w:val="18"/>
                <w:szCs w:val="18"/>
              </w:rPr>
            </w:pPr>
            <w:r w:rsidRPr="00C81547">
              <w:rPr>
                <w:rFonts w:cstheme="minorHAnsi"/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11631" w:type="dxa"/>
          </w:tcPr>
          <w:p w:rsidR="009D3D41" w:rsidRPr="00C81547" w:rsidRDefault="00E530D1" w:rsidP="009D3D41">
            <w:p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C81547">
              <w:rPr>
                <w:rFonts w:cstheme="minorHAnsi"/>
                <w:bCs/>
                <w:i/>
                <w:sz w:val="18"/>
                <w:szCs w:val="18"/>
              </w:rPr>
              <w:t>Pozytywnym doświadczeniem związanym z realizacją projektu było posiadanie zmotywowanych członków zespołu po stronie beneficjenta i wykonawcy oraz zapewnienie odpowiedniego, stałego poziomu komunikacji, co przyśpieszało prace projektowe. Negatywne doświadczenie związane było z niedostosowaniem przepisów o rezerwie celowej do wydatkowania środków w ramach projektu unijnego, co spowalniało działania i utrudniało efektywne wydatkowanie środków.</w:t>
            </w:r>
          </w:p>
        </w:tc>
      </w:tr>
    </w:tbl>
    <w:p w:rsidR="007A0A3D" w:rsidRPr="001E2A8C" w:rsidRDefault="007A0A3D" w:rsidP="007A0A3D">
      <w:pPr>
        <w:rPr>
          <w:rFonts w:ascii="Calibri" w:hAnsi="Calibri" w:cs="Calibri"/>
        </w:rPr>
      </w:pPr>
    </w:p>
    <w:sectPr w:rsidR="007A0A3D" w:rsidRPr="001E2A8C" w:rsidSect="001972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CFCEDC3" w16cex:dateUtc="2024-09-26T06:15:00Z"/>
  <w16cex:commentExtensible w16cex:durableId="550C9945" w16cex:dateUtc="2024-09-26T06:26:00Z"/>
  <w16cex:commentExtensible w16cex:durableId="374529E2" w16cex:dateUtc="2024-09-26T06:31:00Z"/>
  <w16cex:commentExtensible w16cex:durableId="10EF1D1D" w16cex:dateUtc="2024-09-26T06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ED180F6" w16cid:durableId="4CFCEDC3"/>
  <w16cid:commentId w16cid:paraId="5E0A37BF" w16cid:durableId="550C9945"/>
  <w16cid:commentId w16cid:paraId="3F7726BA" w16cid:durableId="374529E2"/>
  <w16cid:commentId w16cid:paraId="473A1124" w16cid:durableId="10EF1D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75B" w:rsidRDefault="00DB775B" w:rsidP="00E530D1">
      <w:pPr>
        <w:spacing w:after="0" w:line="240" w:lineRule="auto"/>
      </w:pPr>
      <w:r>
        <w:separator/>
      </w:r>
    </w:p>
  </w:endnote>
  <w:endnote w:type="continuationSeparator" w:id="0">
    <w:p w:rsidR="00DB775B" w:rsidRDefault="00DB775B" w:rsidP="00E5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75B" w:rsidRDefault="00DB775B" w:rsidP="00E530D1">
      <w:pPr>
        <w:spacing w:after="0" w:line="240" w:lineRule="auto"/>
      </w:pPr>
      <w:r>
        <w:separator/>
      </w:r>
    </w:p>
  </w:footnote>
  <w:footnote w:type="continuationSeparator" w:id="0">
    <w:p w:rsidR="00DB775B" w:rsidRDefault="00DB775B" w:rsidP="00E53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B17366"/>
    <w:multiLevelType w:val="hybridMultilevel"/>
    <w:tmpl w:val="49387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E1137"/>
    <w:multiLevelType w:val="hybridMultilevel"/>
    <w:tmpl w:val="CBC03DCE"/>
    <w:lvl w:ilvl="0" w:tplc="6A0233DA">
      <w:start w:val="1"/>
      <w:numFmt w:val="decimal"/>
      <w:lvlText w:val="%1."/>
      <w:lvlJc w:val="left"/>
      <w:pPr>
        <w:ind w:left="720" w:hanging="360"/>
      </w:pPr>
    </w:lvl>
    <w:lvl w:ilvl="1" w:tplc="8C005896">
      <w:start w:val="1"/>
      <w:numFmt w:val="lowerLetter"/>
      <w:lvlText w:val="%2."/>
      <w:lvlJc w:val="left"/>
      <w:pPr>
        <w:ind w:left="1440" w:hanging="360"/>
      </w:pPr>
    </w:lvl>
    <w:lvl w:ilvl="2" w:tplc="06DA1DB2">
      <w:start w:val="1"/>
      <w:numFmt w:val="lowerRoman"/>
      <w:lvlText w:val="%3."/>
      <w:lvlJc w:val="right"/>
      <w:pPr>
        <w:ind w:left="2160" w:hanging="180"/>
      </w:pPr>
    </w:lvl>
    <w:lvl w:ilvl="3" w:tplc="B1385414">
      <w:start w:val="1"/>
      <w:numFmt w:val="decimal"/>
      <w:lvlText w:val="%4."/>
      <w:lvlJc w:val="left"/>
      <w:pPr>
        <w:ind w:left="2880" w:hanging="360"/>
      </w:pPr>
    </w:lvl>
    <w:lvl w:ilvl="4" w:tplc="E524555C">
      <w:start w:val="1"/>
      <w:numFmt w:val="lowerLetter"/>
      <w:lvlText w:val="%5."/>
      <w:lvlJc w:val="left"/>
      <w:pPr>
        <w:ind w:left="3600" w:hanging="360"/>
      </w:pPr>
    </w:lvl>
    <w:lvl w:ilvl="5" w:tplc="2F2ADE8A">
      <w:start w:val="1"/>
      <w:numFmt w:val="lowerRoman"/>
      <w:lvlText w:val="%6."/>
      <w:lvlJc w:val="right"/>
      <w:pPr>
        <w:ind w:left="4320" w:hanging="180"/>
      </w:pPr>
    </w:lvl>
    <w:lvl w:ilvl="6" w:tplc="DCB80604">
      <w:start w:val="1"/>
      <w:numFmt w:val="decimal"/>
      <w:lvlText w:val="%7."/>
      <w:lvlJc w:val="left"/>
      <w:pPr>
        <w:ind w:left="5040" w:hanging="360"/>
      </w:pPr>
    </w:lvl>
    <w:lvl w:ilvl="7" w:tplc="2272C2A6">
      <w:start w:val="1"/>
      <w:numFmt w:val="lowerLetter"/>
      <w:lvlText w:val="%8."/>
      <w:lvlJc w:val="left"/>
      <w:pPr>
        <w:ind w:left="5760" w:hanging="360"/>
      </w:pPr>
    </w:lvl>
    <w:lvl w:ilvl="8" w:tplc="07E6446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4C0BE9"/>
    <w:multiLevelType w:val="hybridMultilevel"/>
    <w:tmpl w:val="E54E7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9F11B1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F753C"/>
    <w:multiLevelType w:val="hybridMultilevel"/>
    <w:tmpl w:val="2A3E0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BB4517"/>
    <w:multiLevelType w:val="hybridMultilevel"/>
    <w:tmpl w:val="426A5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D3727"/>
    <w:multiLevelType w:val="hybridMultilevel"/>
    <w:tmpl w:val="5D1A3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44A9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9A3236"/>
    <w:multiLevelType w:val="hybridMultilevel"/>
    <w:tmpl w:val="04B4D92E"/>
    <w:lvl w:ilvl="0" w:tplc="4E0A38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2C3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D80D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B68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FAC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A6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42DB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6298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28E9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4131BCB"/>
    <w:multiLevelType w:val="hybridMultilevel"/>
    <w:tmpl w:val="D6AAF474"/>
    <w:lvl w:ilvl="0" w:tplc="A8E04068">
      <w:start w:val="1"/>
      <w:numFmt w:val="decimal"/>
      <w:lvlText w:val="%1."/>
      <w:lvlJc w:val="left"/>
      <w:pPr>
        <w:ind w:left="643" w:hanging="360"/>
      </w:pPr>
      <w:rPr>
        <w:rFonts w:asciiTheme="minorHAnsi" w:hAnsiTheme="minorHAnsi" w:cstheme="minorHAnsi" w:hint="default"/>
      </w:rPr>
    </w:lvl>
    <w:lvl w:ilvl="1" w:tplc="F86E3664">
      <w:start w:val="1"/>
      <w:numFmt w:val="lowerLetter"/>
      <w:lvlText w:val="%2."/>
      <w:lvlJc w:val="left"/>
      <w:pPr>
        <w:ind w:left="1440" w:hanging="360"/>
      </w:pPr>
    </w:lvl>
    <w:lvl w:ilvl="2" w:tplc="18783D6E">
      <w:start w:val="1"/>
      <w:numFmt w:val="lowerRoman"/>
      <w:lvlText w:val="%3."/>
      <w:lvlJc w:val="right"/>
      <w:pPr>
        <w:ind w:left="2160" w:hanging="180"/>
      </w:pPr>
    </w:lvl>
    <w:lvl w:ilvl="3" w:tplc="0748A060">
      <w:start w:val="1"/>
      <w:numFmt w:val="decimal"/>
      <w:lvlText w:val="%4."/>
      <w:lvlJc w:val="left"/>
      <w:pPr>
        <w:ind w:left="2880" w:hanging="360"/>
      </w:pPr>
    </w:lvl>
    <w:lvl w:ilvl="4" w:tplc="060654F8">
      <w:start w:val="1"/>
      <w:numFmt w:val="lowerLetter"/>
      <w:lvlText w:val="%5."/>
      <w:lvlJc w:val="left"/>
      <w:pPr>
        <w:ind w:left="3600" w:hanging="360"/>
      </w:pPr>
    </w:lvl>
    <w:lvl w:ilvl="5" w:tplc="FF8C30DC">
      <w:start w:val="1"/>
      <w:numFmt w:val="lowerRoman"/>
      <w:lvlText w:val="%6."/>
      <w:lvlJc w:val="right"/>
      <w:pPr>
        <w:ind w:left="4320" w:hanging="180"/>
      </w:pPr>
    </w:lvl>
    <w:lvl w:ilvl="6" w:tplc="BCF6A132">
      <w:start w:val="1"/>
      <w:numFmt w:val="decimal"/>
      <w:lvlText w:val="%7."/>
      <w:lvlJc w:val="left"/>
      <w:pPr>
        <w:ind w:left="5040" w:hanging="360"/>
      </w:pPr>
    </w:lvl>
    <w:lvl w:ilvl="7" w:tplc="9FF29906">
      <w:start w:val="1"/>
      <w:numFmt w:val="lowerLetter"/>
      <w:lvlText w:val="%8."/>
      <w:lvlJc w:val="left"/>
      <w:pPr>
        <w:ind w:left="5760" w:hanging="360"/>
      </w:pPr>
    </w:lvl>
    <w:lvl w:ilvl="8" w:tplc="1A2ECC9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4E7DA6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F36984"/>
    <w:multiLevelType w:val="hybridMultilevel"/>
    <w:tmpl w:val="1D20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4"/>
  </w:num>
  <w:num w:numId="5">
    <w:abstractNumId w:val="13"/>
  </w:num>
  <w:num w:numId="6">
    <w:abstractNumId w:val="19"/>
  </w:num>
  <w:num w:numId="7">
    <w:abstractNumId w:val="20"/>
  </w:num>
  <w:num w:numId="8">
    <w:abstractNumId w:val="5"/>
  </w:num>
  <w:num w:numId="9">
    <w:abstractNumId w:val="8"/>
  </w:num>
  <w:num w:numId="10">
    <w:abstractNumId w:val="12"/>
  </w:num>
  <w:num w:numId="11">
    <w:abstractNumId w:val="22"/>
  </w:num>
  <w:num w:numId="12">
    <w:abstractNumId w:val="6"/>
  </w:num>
  <w:num w:numId="13">
    <w:abstractNumId w:val="4"/>
  </w:num>
  <w:num w:numId="14">
    <w:abstractNumId w:val="1"/>
  </w:num>
  <w:num w:numId="15">
    <w:abstractNumId w:val="24"/>
  </w:num>
  <w:num w:numId="16">
    <w:abstractNumId w:val="9"/>
  </w:num>
  <w:num w:numId="17">
    <w:abstractNumId w:val="18"/>
  </w:num>
  <w:num w:numId="18">
    <w:abstractNumId w:val="23"/>
  </w:num>
  <w:num w:numId="19">
    <w:abstractNumId w:val="21"/>
  </w:num>
  <w:num w:numId="20">
    <w:abstractNumId w:val="17"/>
  </w:num>
  <w:num w:numId="21">
    <w:abstractNumId w:val="15"/>
  </w:num>
  <w:num w:numId="22">
    <w:abstractNumId w:val="10"/>
  </w:num>
  <w:num w:numId="23">
    <w:abstractNumId w:val="7"/>
  </w:num>
  <w:num w:numId="24">
    <w:abstractNumId w:val="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62434"/>
    <w:rsid w:val="000659A4"/>
    <w:rsid w:val="0008159F"/>
    <w:rsid w:val="00084FBF"/>
    <w:rsid w:val="000B77F1"/>
    <w:rsid w:val="000D3CA9"/>
    <w:rsid w:val="000E0C6F"/>
    <w:rsid w:val="000E179B"/>
    <w:rsid w:val="001455E8"/>
    <w:rsid w:val="001600BB"/>
    <w:rsid w:val="001806EC"/>
    <w:rsid w:val="00180E1F"/>
    <w:rsid w:val="001953A9"/>
    <w:rsid w:val="00197250"/>
    <w:rsid w:val="001B3BB0"/>
    <w:rsid w:val="001C611C"/>
    <w:rsid w:val="001C6D7D"/>
    <w:rsid w:val="001E2A8C"/>
    <w:rsid w:val="0021582D"/>
    <w:rsid w:val="002450C4"/>
    <w:rsid w:val="00292E09"/>
    <w:rsid w:val="002A153C"/>
    <w:rsid w:val="002A728C"/>
    <w:rsid w:val="002D200F"/>
    <w:rsid w:val="003B107D"/>
    <w:rsid w:val="003B7BD6"/>
    <w:rsid w:val="003C09A0"/>
    <w:rsid w:val="003D7919"/>
    <w:rsid w:val="004046DC"/>
    <w:rsid w:val="00435167"/>
    <w:rsid w:val="00452E57"/>
    <w:rsid w:val="00466F36"/>
    <w:rsid w:val="004874DD"/>
    <w:rsid w:val="004B19FE"/>
    <w:rsid w:val="004D135D"/>
    <w:rsid w:val="005103D2"/>
    <w:rsid w:val="005302DE"/>
    <w:rsid w:val="0058262E"/>
    <w:rsid w:val="005A4344"/>
    <w:rsid w:val="005D4188"/>
    <w:rsid w:val="00632AA0"/>
    <w:rsid w:val="00643672"/>
    <w:rsid w:val="006638C1"/>
    <w:rsid w:val="00687AFE"/>
    <w:rsid w:val="00694477"/>
    <w:rsid w:val="006B7454"/>
    <w:rsid w:val="00716201"/>
    <w:rsid w:val="007340BE"/>
    <w:rsid w:val="007408A3"/>
    <w:rsid w:val="00743031"/>
    <w:rsid w:val="007437D9"/>
    <w:rsid w:val="0076397F"/>
    <w:rsid w:val="00773523"/>
    <w:rsid w:val="007A0A3D"/>
    <w:rsid w:val="007B2FB5"/>
    <w:rsid w:val="007B678E"/>
    <w:rsid w:val="007C54F9"/>
    <w:rsid w:val="007E2F1F"/>
    <w:rsid w:val="007E6098"/>
    <w:rsid w:val="007F63EF"/>
    <w:rsid w:val="00813FEF"/>
    <w:rsid w:val="00814C23"/>
    <w:rsid w:val="008213A6"/>
    <w:rsid w:val="008632E4"/>
    <w:rsid w:val="00877692"/>
    <w:rsid w:val="00891869"/>
    <w:rsid w:val="008927DE"/>
    <w:rsid w:val="008E0416"/>
    <w:rsid w:val="008E7B3E"/>
    <w:rsid w:val="0090416B"/>
    <w:rsid w:val="00905779"/>
    <w:rsid w:val="0092099A"/>
    <w:rsid w:val="00920CE8"/>
    <w:rsid w:val="009479EF"/>
    <w:rsid w:val="009567EF"/>
    <w:rsid w:val="00975638"/>
    <w:rsid w:val="009809EA"/>
    <w:rsid w:val="00982DC4"/>
    <w:rsid w:val="00993D33"/>
    <w:rsid w:val="009D3D41"/>
    <w:rsid w:val="009E1398"/>
    <w:rsid w:val="00A12836"/>
    <w:rsid w:val="00A1534B"/>
    <w:rsid w:val="00A522AB"/>
    <w:rsid w:val="00A644D8"/>
    <w:rsid w:val="00A6601B"/>
    <w:rsid w:val="00A70ABA"/>
    <w:rsid w:val="00A710B2"/>
    <w:rsid w:val="00AA1C73"/>
    <w:rsid w:val="00AF7F67"/>
    <w:rsid w:val="00B33C04"/>
    <w:rsid w:val="00B57299"/>
    <w:rsid w:val="00B93735"/>
    <w:rsid w:val="00BC120E"/>
    <w:rsid w:val="00C033A1"/>
    <w:rsid w:val="00C37A3A"/>
    <w:rsid w:val="00C42446"/>
    <w:rsid w:val="00C546B0"/>
    <w:rsid w:val="00C56B53"/>
    <w:rsid w:val="00C67B9B"/>
    <w:rsid w:val="00C81547"/>
    <w:rsid w:val="00C93082"/>
    <w:rsid w:val="00C948E6"/>
    <w:rsid w:val="00CA79E4"/>
    <w:rsid w:val="00CF4111"/>
    <w:rsid w:val="00D22A05"/>
    <w:rsid w:val="00D2582C"/>
    <w:rsid w:val="00D65F79"/>
    <w:rsid w:val="00D67C92"/>
    <w:rsid w:val="00DA28E3"/>
    <w:rsid w:val="00DB70A5"/>
    <w:rsid w:val="00DB775B"/>
    <w:rsid w:val="00DC3104"/>
    <w:rsid w:val="00DE6786"/>
    <w:rsid w:val="00E30008"/>
    <w:rsid w:val="00E52249"/>
    <w:rsid w:val="00E530D1"/>
    <w:rsid w:val="00EB0AF4"/>
    <w:rsid w:val="00EB3477"/>
    <w:rsid w:val="00EF094D"/>
    <w:rsid w:val="00EF42F8"/>
    <w:rsid w:val="00F20C45"/>
    <w:rsid w:val="00F32CAA"/>
    <w:rsid w:val="00F50EBE"/>
    <w:rsid w:val="00F741B3"/>
    <w:rsid w:val="00F82254"/>
    <w:rsid w:val="00FA2C7F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0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0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0D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72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72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7250"/>
    <w:rPr>
      <w:vertAlign w:val="superscript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2D200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E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E09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EB0AF4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EB0AF4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EB0AF4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EB0AF4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EB0AF4"/>
  </w:style>
  <w:style w:type="paragraph" w:styleId="Poprawka">
    <w:name w:val="Revision"/>
    <w:hidden/>
    <w:uiPriority w:val="99"/>
    <w:semiHidden/>
    <w:rsid w:val="005103D2"/>
    <w:pPr>
      <w:spacing w:after="0" w:line="240" w:lineRule="auto"/>
    </w:pPr>
  </w:style>
  <w:style w:type="character" w:customStyle="1" w:styleId="Tablecaption">
    <w:name w:val="Table caption_"/>
    <w:basedOn w:val="Domylnaczcionkaakapitu"/>
    <w:link w:val="Tablecaption0"/>
    <w:rsid w:val="005103D2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5103D2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Tekstpodstawowy2">
    <w:name w:val="Body Text 2"/>
    <w:basedOn w:val="Normalny"/>
    <w:link w:val="Tekstpodstawowy2Znak"/>
    <w:unhideWhenUsed/>
    <w:rsid w:val="00A70AB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0ABA"/>
  </w:style>
  <w:style w:type="paragraph" w:styleId="Stopka">
    <w:name w:val="footer"/>
    <w:basedOn w:val="Normalny"/>
    <w:link w:val="StopkaZnak"/>
    <w:uiPriority w:val="99"/>
    <w:unhideWhenUsed/>
    <w:rsid w:val="00993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408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42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40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13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1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41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2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2013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Miętek Agata</cp:lastModifiedBy>
  <cp:revision>2</cp:revision>
  <dcterms:created xsi:type="dcterms:W3CDTF">2024-10-01T13:37:00Z</dcterms:created>
  <dcterms:modified xsi:type="dcterms:W3CDTF">2024-10-01T13:37:00Z</dcterms:modified>
</cp:coreProperties>
</file>